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5"/>
        <w:framePr w:wrap="around"/>
        <w:rPr>
          <w:rFonts w:hint="default" w:eastAsia="黑体"/>
          <w:lang w:val="en-US" w:eastAsia="zh-CN"/>
        </w:rPr>
      </w:pPr>
      <w:r>
        <w:rPr>
          <w:rFonts w:ascii="Times New Roman"/>
        </w:rPr>
        <w:t>ICS</w:t>
      </w:r>
      <w:r>
        <w:rPr>
          <w:rFonts w:hAnsi="黑体"/>
        </w:rPr>
        <w:t xml:space="preserve"> </w:t>
      </w:r>
      <w:r>
        <w:rPr>
          <w:rFonts w:hint="eastAsia" w:hAnsi="黑体"/>
          <w:lang w:val="en-US" w:eastAsia="zh-CN"/>
        </w:rPr>
        <w:t>11.120.10</w:t>
      </w:r>
    </w:p>
    <w:p>
      <w:pPr>
        <w:pStyle w:val="125"/>
        <w:framePr w:wrap="around"/>
        <w:rPr>
          <w:rFonts w:hint="default" w:eastAsia="黑体"/>
          <w:lang w:val="en-US" w:eastAsia="zh-CN"/>
        </w:rPr>
      </w:pPr>
      <w:bookmarkStart w:id="0" w:name="WXFLH"/>
      <w:r>
        <w:t xml:space="preserve">CCS </w:t>
      </w:r>
      <w:bookmarkEnd w:id="0"/>
      <w:r>
        <w:rPr>
          <w:rFonts w:hint="eastAsia"/>
          <w:lang w:val="en-US" w:eastAsia="zh-CN"/>
        </w:rPr>
        <w:t>B38</w:t>
      </w:r>
    </w:p>
    <w:tbl>
      <w:tblPr>
        <w:tblStyle w:val="35"/>
        <w:tblW w:w="9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8" w:type="dxa"/>
            <w:tcBorders>
              <w:top w:val="nil"/>
              <w:left w:val="nil"/>
              <w:bottom w:val="nil"/>
              <w:right w:val="nil"/>
            </w:tcBorders>
            <w:shd w:val="clear" w:color="auto" w:fill="auto"/>
          </w:tcPr>
          <w:p>
            <w:pPr>
              <w:pStyle w:val="125"/>
              <w:keepNext w:val="0"/>
              <w:keepLines w:val="0"/>
              <w:framePr w:wrap="around"/>
              <w:suppressLineNumbers w:val="0"/>
              <w:spacing w:before="0" w:beforeAutospacing="0" w:after="0" w:afterAutospacing="0"/>
              <w:ind w:left="0" w:right="0"/>
              <w:rPr>
                <w:rFonts w:hint="default"/>
              </w:rPr>
            </w:pPr>
            <w:r>
              <w:rPr>
                <w:rFonts w:hint="default"/>
              </w:rPr>
              <mc:AlternateContent>
                <mc:Choice Requires="wps">
                  <w:drawing>
                    <wp:anchor distT="0" distB="0" distL="114300" distR="114300" simplePos="0" relativeHeight="251663360" behindDoc="1" locked="0" layoutInCell="1" allowOverlap="1">
                      <wp:simplePos x="0" y="0"/>
                      <wp:positionH relativeFrom="column">
                        <wp:posOffset>-66675</wp:posOffset>
                      </wp:positionH>
                      <wp:positionV relativeFrom="paragraph">
                        <wp:posOffset>0</wp:posOffset>
                      </wp:positionV>
                      <wp:extent cx="710565" cy="161925"/>
                      <wp:effectExtent l="0" t="0" r="0" b="9525"/>
                      <wp:wrapNone/>
                      <wp:docPr id="72" name="BAH"/>
                      <wp:cNvGraphicFramePr/>
                      <a:graphic xmlns:a="http://schemas.openxmlformats.org/drawingml/2006/main">
                        <a:graphicData uri="http://schemas.microsoft.com/office/word/2010/wordprocessingShape">
                          <wps:wsp>
                            <wps:cNvSpPr>
                              <a:spLocks noChangeArrowheads="1"/>
                            </wps:cNvSpPr>
                            <wps:spPr bwMode="auto">
                              <a:xfrm>
                                <a:off x="0" y="0"/>
                                <a:ext cx="710565" cy="16192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2.75pt;width:55.95pt;z-index:-251653120;mso-width-relative:page;mso-height-relative:page;" fillcolor="#FFFFFF" filled="t" stroked="f" coordsize="21600,21600" o:gfxdata="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mdh1NUAAAAHAQAADwAAAAAAAAABACAAAAAi&#10;AAAAZHJzL2Rvd25yZXYueG1sUEsBAhQAFAAAAAgAh07iQBz2sFoNAgAAIQQAAA4AAAAAAAAAAQAg&#10;AAAAJAEAAGRycy9lMm9Eb2MueG1sUEsFBgAAAAAGAAYAWQEAAKMFAAAAAA==&#10;">
                      <v:fill on="t" focussize="0,0"/>
                      <v:stroke on="f"/>
                      <v:imagedata o:title=""/>
                      <o:lock v:ext="edit" aspectratio="f"/>
                    </v:rect>
                  </w:pict>
                </mc:Fallback>
              </mc:AlternateContent>
            </w:r>
          </w:p>
        </w:tc>
      </w:tr>
    </w:tbl>
    <w:p>
      <w:pPr>
        <w:pStyle w:val="111"/>
        <w:framePr w:wrap="around"/>
        <w:rPr>
          <w:rFonts w:hint="default" w:eastAsia="宋体"/>
          <w:lang w:val="en-US" w:eastAsia="zh-CN"/>
        </w:rPr>
      </w:pPr>
      <w:r>
        <w:rPr>
          <w:rFonts w:hint="eastAsia"/>
          <w:lang w:val="en-US" w:eastAsia="zh-CN"/>
        </w:rPr>
        <w:t>T/HBYXH</w:t>
      </w:r>
    </w:p>
    <w:p>
      <w:pPr>
        <w:pStyle w:val="112"/>
        <w:framePr w:wrap="around"/>
        <w:rPr>
          <w:rFonts w:hint="default" w:eastAsia="黑体"/>
          <w:lang w:val="en-US" w:eastAsia="zh-CN"/>
        </w:rPr>
      </w:pPr>
      <w:r>
        <w:rPr>
          <w:rFonts w:hint="eastAsia"/>
          <w:lang w:val="en-US" w:eastAsia="zh-CN"/>
        </w:rPr>
        <w:t>河北省药学会团体标准</w:t>
      </w:r>
    </w:p>
    <w:p>
      <w:pPr>
        <w:pStyle w:val="49"/>
        <w:framePr w:wrap="around"/>
        <w:rPr>
          <w:rFonts w:hint="default" w:hAnsi="黑体" w:eastAsia="黑体"/>
          <w:lang w:val="en-US" w:eastAsia="zh-CN"/>
        </w:rPr>
      </w:pPr>
      <w:r>
        <w:rPr>
          <w:rFonts w:hint="eastAsia" w:ascii="Times New Roman"/>
          <w:lang w:val="en-US" w:eastAsia="zh-CN"/>
        </w:rPr>
        <w:t>T</w:t>
      </w:r>
      <w:r>
        <w:rPr>
          <w:rFonts w:hAnsi="黑体"/>
        </w:rPr>
        <w:t>/</w:t>
      </w:r>
      <w:r>
        <w:rPr>
          <w:rFonts w:hint="eastAsia" w:hAnsi="黑体"/>
          <w:lang w:val="en-US" w:eastAsia="zh-CN"/>
        </w:rPr>
        <w:t>HBYXH</w:t>
      </w:r>
      <w:r>
        <w:rPr>
          <w:rFonts w:hAnsi="黑体"/>
        </w:rPr>
        <w:t xml:space="preserve"> </w:t>
      </w:r>
      <w:r>
        <w:rPr>
          <w:rFonts w:hint="eastAsia" w:hAnsi="黑体"/>
          <w:lang w:val="en-US" w:eastAsia="zh-CN"/>
        </w:rPr>
        <w:t>0002</w:t>
      </w:r>
      <w:r>
        <w:rPr>
          <w:rFonts w:hAnsi="黑体"/>
        </w:rPr>
        <w:t>—</w:t>
      </w:r>
      <w:r>
        <w:rPr>
          <w:rFonts w:hint="eastAsia" w:hAnsi="黑体"/>
          <w:lang w:val="en-US" w:eastAsia="zh-CN"/>
        </w:rPr>
        <w:t>2024</w:t>
      </w:r>
    </w:p>
    <w:tbl>
      <w:tblPr>
        <w:tblStyle w:val="35"/>
        <w:tblW w:w="9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40" w:type="dxa"/>
            <w:tcBorders>
              <w:top w:val="nil"/>
              <w:left w:val="nil"/>
              <w:bottom w:val="nil"/>
              <w:right w:val="nil"/>
            </w:tcBorders>
            <w:shd w:val="clear" w:color="auto" w:fill="auto"/>
          </w:tcPr>
          <w:p>
            <w:pPr>
              <w:pStyle w:val="78"/>
              <w:keepNext w:val="0"/>
              <w:keepLines w:val="0"/>
              <w:framePr w:wrap="around"/>
              <w:widowControl/>
              <w:suppressLineNumbers w:val="0"/>
              <w:spacing w:beforeAutospacing="0" w:after="0" w:afterAutospacing="0"/>
              <w:ind w:left="0" w:right="0"/>
              <w:rPr>
                <w:rFonts w:hint="default"/>
              </w:rPr>
            </w:pPr>
            <w:bookmarkStart w:id="1" w:name="DT"/>
            <w:r>
              <w:rPr>
                <w:rFonts w:hint="default"/>
              </w:rPr>
              <mc:AlternateContent>
                <mc:Choice Requires="wps">
                  <w:drawing>
                    <wp:anchor distT="0" distB="0" distL="114300" distR="114300" simplePos="0" relativeHeight="251660288" behindDoc="1" locked="0" layoutInCell="1" allowOverlap="1">
                      <wp:simplePos x="0" y="0"/>
                      <wp:positionH relativeFrom="column">
                        <wp:posOffset>4734560</wp:posOffset>
                      </wp:positionH>
                      <wp:positionV relativeFrom="paragraph">
                        <wp:posOffset>34290</wp:posOffset>
                      </wp:positionV>
                      <wp:extent cx="982980" cy="196215"/>
                      <wp:effectExtent l="0" t="0" r="7620" b="0"/>
                      <wp:wrapNone/>
                      <wp:docPr id="71" name="DT"/>
                      <wp:cNvGraphicFramePr/>
                      <a:graphic xmlns:a="http://schemas.openxmlformats.org/drawingml/2006/main">
                        <a:graphicData uri="http://schemas.microsoft.com/office/word/2010/wordprocessingShape">
                          <wps:wsp>
                            <wps:cNvSpPr>
                              <a:spLocks noChangeArrowheads="1"/>
                            </wps:cNvSpPr>
                            <wps:spPr bwMode="auto">
                              <a:xfrm>
                                <a:off x="0" y="0"/>
                                <a:ext cx="982980" cy="19621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5.45pt;width:77.4pt;z-index:-251656192;mso-width-relative:page;mso-height-relative:page;" fillcolor="#FFFFFF" filled="t" stroked="f" coordsize="21600,21600" o:gfxdata="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UYaFdcAAAAIAQAADwAAAAAAAAABACAAAAAi&#10;AAAAZHJzL2Rvd25yZXYueG1sUEsBAhQAFAAAAAgAh07iQDQZ5mwLAgAAIAQAAA4AAAAAAAAAAQAg&#10;AAAAJgEAAGRycy9lMm9Eb2MueG1sUEsFBgAAAAAGAAYAWQEAAKMFAAAAAA==&#10;">
                      <v:fill on="t" focussize="0,0"/>
                      <v:stroke on="f"/>
                      <v:imagedata o:title=""/>
                      <o:lock v:ext="edit" aspectratio="f"/>
                    </v:rect>
                  </w:pict>
                </mc:Fallback>
              </mc:AlternateContent>
            </w:r>
            <w:bookmarkEnd w:id="1"/>
          </w:p>
        </w:tc>
      </w:tr>
    </w:tbl>
    <w:p>
      <w:pPr>
        <w:pStyle w:val="49"/>
        <w:framePr w:wrap="around"/>
        <w:rPr>
          <w:rFonts w:hAnsi="黑体"/>
        </w:rPr>
      </w:pPr>
    </w:p>
    <w:p>
      <w:pPr>
        <w:pStyle w:val="49"/>
        <w:framePr w:wrap="around"/>
        <w:rPr>
          <w:rFonts w:hAnsi="黑体"/>
        </w:rPr>
      </w:pPr>
    </w:p>
    <w:p>
      <w:pPr>
        <w:pStyle w:val="80"/>
        <w:framePr w:wrap="around"/>
        <w:rPr>
          <w:rFonts w:hint="default" w:eastAsia="黑体"/>
          <w:lang w:val="en-US" w:eastAsia="zh-CN"/>
        </w:rPr>
      </w:pPr>
      <w:r>
        <w:rPr>
          <w:rFonts w:hint="eastAsia"/>
          <w:lang w:val="en-US" w:eastAsia="zh-CN"/>
        </w:rPr>
        <w:t>中药材葡萄籽质量要求</w:t>
      </w:r>
    </w:p>
    <w:p>
      <w:pPr>
        <w:pStyle w:val="81"/>
        <w:framePr w:wrap="around"/>
      </w:pPr>
    </w:p>
    <w:p>
      <w:pPr>
        <w:pStyle w:val="82"/>
        <w:framePr w:wrap="around"/>
      </w:pPr>
    </w:p>
    <w:tbl>
      <w:tblPr>
        <w:tblStyle w:val="35"/>
        <w:tblW w:w="96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639" w:type="dxa"/>
            <w:tcBorders>
              <w:top w:val="nil"/>
              <w:left w:val="nil"/>
              <w:bottom w:val="nil"/>
              <w:right w:val="nil"/>
            </w:tcBorders>
            <w:shd w:val="clear" w:color="auto" w:fill="auto"/>
          </w:tcPr>
          <w:p>
            <w:pPr>
              <w:pStyle w:val="83"/>
              <w:keepNext w:val="0"/>
              <w:keepLines w:val="0"/>
              <w:framePr w:wrap="around"/>
              <w:suppressLineNumbers w:val="0"/>
              <w:spacing w:beforeAutospacing="0" w:afterAutospacing="0"/>
              <w:ind w:left="0" w:right="0"/>
              <w:rPr>
                <w:rFonts w:hint="default"/>
              </w:rPr>
            </w:pPr>
            <w:r>
              <w:rPr>
                <w:rFonts w:hint="default"/>
              </w:rPr>
              <mc:AlternateContent>
                <mc:Choice Requires="wps">
                  <w:drawing>
                    <wp:anchor distT="0" distB="0" distL="114300" distR="114300" simplePos="0" relativeHeight="251662336" behindDoc="1" locked="1" layoutInCell="1" allowOverlap="1">
                      <wp:simplePos x="0" y="0"/>
                      <wp:positionH relativeFrom="column">
                        <wp:posOffset>2200910</wp:posOffset>
                      </wp:positionH>
                      <wp:positionV relativeFrom="paragraph">
                        <wp:posOffset>573405</wp:posOffset>
                      </wp:positionV>
                      <wp:extent cx="1562100" cy="208280"/>
                      <wp:effectExtent l="0" t="0" r="0" b="1270"/>
                      <wp:wrapNone/>
                      <wp:docPr id="70" name="RQ"/>
                      <wp:cNvGraphicFramePr/>
                      <a:graphic xmlns:a="http://schemas.openxmlformats.org/drawingml/2006/main">
                        <a:graphicData uri="http://schemas.microsoft.com/office/word/2010/wordprocessingShape">
                          <wps:wsp>
                            <wps:cNvSpPr>
                              <a:spLocks noChangeArrowheads="1"/>
                            </wps:cNvSpPr>
                            <wps:spPr bwMode="auto">
                              <a:xfrm>
                                <a:off x="0" y="0"/>
                                <a:ext cx="1562100" cy="20828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16.4pt;width:123pt;z-index:-251654144;mso-width-relative:page;mso-height-relative:page;" fillcolor="#FFFFFF" filled="t" stroked="f" coordsize="21600,21600" o:gfxdata="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a7pn1wAAAAoBAAAPAAAAAAAAAAEAIAAA&#10;ACIAAABkcnMvZG93bnJldi54bWxQSwECFAAUAAAACACHTuJAQXZ4aQ0CAAAhBAAADgAAAAAAAAAB&#10;ACAAAAAmAQAAZHJzL2Uyb0RvYy54bWxQSwUGAAAAAAYABgBZAQAApQUAAAAA&#10;">
                      <v:fill on="t" focussize="0,0"/>
                      <v:stroke on="f"/>
                      <v:imagedata o:title=""/>
                      <o:lock v:ext="edit" aspectratio="f"/>
                      <w10:anchorlock/>
                    </v:rect>
                  </w:pict>
                </mc:Fallback>
              </mc:AlternateContent>
            </w:r>
            <w:r>
              <w:rPr>
                <w:rFonts w:hint="default"/>
              </w:rPr>
              <mc:AlternateContent>
                <mc:Choice Requires="wps">
                  <w:drawing>
                    <wp:anchor distT="0" distB="0" distL="114300" distR="114300" simplePos="0" relativeHeight="251661312" behindDoc="1" locked="0" layoutInCell="1" allowOverlap="1">
                      <wp:simplePos x="0" y="0"/>
                      <wp:positionH relativeFrom="column">
                        <wp:posOffset>2454910</wp:posOffset>
                      </wp:positionH>
                      <wp:positionV relativeFrom="paragraph">
                        <wp:posOffset>255905</wp:posOffset>
                      </wp:positionV>
                      <wp:extent cx="1041400" cy="249555"/>
                      <wp:effectExtent l="0" t="0" r="6350" b="0"/>
                      <wp:wrapNone/>
                      <wp:docPr id="69" name="LB"/>
                      <wp:cNvGraphicFramePr/>
                      <a:graphic xmlns:a="http://schemas.openxmlformats.org/drawingml/2006/main">
                        <a:graphicData uri="http://schemas.microsoft.com/office/word/2010/wordprocessingShape">
                          <wps:wsp>
                            <wps:cNvSpPr>
                              <a:spLocks noChangeArrowheads="1"/>
                            </wps:cNvSpPr>
                            <wps:spPr bwMode="auto">
                              <a:xfrm>
                                <a:off x="0" y="0"/>
                                <a:ext cx="1041400" cy="24955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19.65pt;width:82pt;z-index:-251655168;mso-width-relative:page;mso-height-relative:page;" fillcolor="#FFFFFF" filled="t" stroked="f" coordsize="21600,21600" o:gfxdata="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ioem3XAAAACQEAAA8AAAAAAAAAAQAgAAAA&#10;IgAAAGRycy9kb3ducmV2LnhtbFBLAQIUABQAAAAIAIdO4kBWo5GFDAIAACEEAAAOAAAAAAAAAAEA&#10;IAAAACYBAABkcnMvZTJvRG9jLnhtbFBLBQYAAAAABgAGAFkBAACkBQAAAAA=&#10;">
                      <v:fill on="t" focussize="0,0"/>
                      <v:stroke on="f"/>
                      <v:imagedata o:title=""/>
                      <o:lock v:ext="edit" aspectratio="f"/>
                    </v:rect>
                  </w:pict>
                </mc:Fallback>
              </mc:AlternateContent>
            </w:r>
            <w:r>
              <w:rPr>
                <w:rFonts w:hint="eastAsia"/>
              </w:rPr>
              <w:t>（</w:t>
            </w:r>
            <w:r>
              <w:rPr>
                <w:rFonts w:hint="eastAsia"/>
                <w:lang w:val="en-US" w:eastAsia="zh-CN"/>
              </w:rPr>
              <w:t>征求意见</w:t>
            </w:r>
            <w:r>
              <w:rPr>
                <w:rFonts w:hint="eastAsia"/>
              </w:rPr>
              <w:t>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39" w:type="dxa"/>
            <w:tcBorders>
              <w:top w:val="nil"/>
              <w:left w:val="nil"/>
              <w:bottom w:val="nil"/>
              <w:right w:val="nil"/>
            </w:tcBorders>
            <w:shd w:val="clear" w:color="auto" w:fill="auto"/>
          </w:tcPr>
          <w:p>
            <w:pPr>
              <w:pStyle w:val="84"/>
              <w:keepNext w:val="0"/>
              <w:keepLines w:val="0"/>
              <w:framePr w:wrap="around"/>
              <w:suppressLineNumbers w:val="0"/>
              <w:spacing w:beforeAutospacing="0" w:afterAutospacing="0"/>
              <w:ind w:left="1308" w:leftChars="623" w:right="0"/>
              <w:jc w:val="left"/>
              <w:rPr>
                <w:rFonts w:hint="default" w:ascii="黑体" w:hAnsi="黑体" w:eastAsia="黑体"/>
              </w:rPr>
            </w:pPr>
            <w:r>
              <w:rPr>
                <w:rFonts w:hint="eastAsia" w:ascii="黑体" w:hAnsi="黑体" w:eastAsia="黑体"/>
              </w:rPr>
              <w:t>在提交反馈意见时，请将您知道的相关专利连同支持性文件一并附上。</w:t>
            </w:r>
          </w:p>
        </w:tc>
      </w:tr>
    </w:tbl>
    <w:p>
      <w:pPr>
        <w:pStyle w:val="113"/>
        <w:framePr w:wrap="around"/>
      </w:pPr>
    </w:p>
    <w:p>
      <w:pPr>
        <w:pStyle w:val="26"/>
        <w:sectPr>
          <w:headerReference r:id="rId5" w:type="first"/>
          <w:footerReference r:id="rId8" w:type="first"/>
          <w:headerReference r:id="rId3" w:type="default"/>
          <w:footerReference r:id="rId6" w:type="default"/>
          <w:headerReference r:id="rId4" w:type="even"/>
          <w:footerReference r:id="rId7" w:type="even"/>
          <w:pgSz w:w="11906" w:h="16838"/>
          <w:pgMar w:top="567" w:right="850" w:bottom="1134" w:left="1418" w:header="0" w:footer="0" w:gutter="0"/>
          <w:pgNumType w:start="1"/>
          <w:cols w:space="425" w:num="1"/>
          <w:docGrid w:type="lines" w:linePitch="312" w:charSpace="0"/>
        </w:sectPr>
      </w:pPr>
      <w:r>
        <mc:AlternateContent>
          <mc:Choice Requires="wps">
            <w:drawing>
              <wp:anchor distT="0" distB="0" distL="114300" distR="114300" simplePos="0" relativeHeight="251664384" behindDoc="0" locked="0" layoutInCell="1" allowOverlap="1">
                <wp:simplePos x="0" y="0"/>
                <wp:positionH relativeFrom="column">
                  <wp:posOffset>-1270</wp:posOffset>
                </wp:positionH>
                <wp:positionV relativeFrom="paragraph">
                  <wp:posOffset>9046210</wp:posOffset>
                </wp:positionV>
                <wp:extent cx="6062980" cy="0"/>
                <wp:effectExtent l="0" t="0" r="33020" b="19050"/>
                <wp:wrapNone/>
                <wp:docPr id="42" name="Line 11"/>
                <wp:cNvGraphicFramePr/>
                <a:graphic xmlns:a="http://schemas.openxmlformats.org/drawingml/2006/main">
                  <a:graphicData uri="http://schemas.microsoft.com/office/word/2010/wordprocessingShape">
                    <wps:wsp>
                      <wps:cNvCnPr>
                        <a:cxnSpLocks noChangeShapeType="1"/>
                      </wps:cNvCnPr>
                      <wps:spPr bwMode="auto">
                        <a:xfrm>
                          <a:off x="0" y="0"/>
                          <a:ext cx="606298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1pt;margin-top:712.3pt;height:0pt;width:477.4pt;z-index:251664384;mso-width-relative:page;mso-height-relative:page;" filled="f" stroked="t" coordsize="21600,21600" o:gfxdata="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dRQVtYAAAALAQAADwAAAAAAAAABACAAAAAiAAAAZHJzL2Rv&#10;d25yZXYueG1sUEsBAhQAFAAAAAgAh07iQPt7ba7KAQAAoQMAAA4AAAAAAAAAAQAgAAAAJQEAAGRy&#10;cy9lMm9Eb2MueG1sUEsFBgAAAAAGAAYAWQEAAG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2339340</wp:posOffset>
                </wp:positionV>
                <wp:extent cx="6062980" cy="0"/>
                <wp:effectExtent l="0" t="0" r="33020" b="19050"/>
                <wp:wrapNone/>
                <wp:docPr id="67" name="Line 11"/>
                <wp:cNvGraphicFramePr/>
                <a:graphic xmlns:a="http://schemas.openxmlformats.org/drawingml/2006/main">
                  <a:graphicData uri="http://schemas.microsoft.com/office/word/2010/wordprocessingShape">
                    <wps:wsp>
                      <wps:cNvCnPr>
                        <a:cxnSpLocks noChangeShapeType="1"/>
                      </wps:cNvCnPr>
                      <wps:spPr bwMode="auto">
                        <a:xfrm>
                          <a:off x="0" y="0"/>
                          <a:ext cx="606298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pt;height:0pt;width:477.4pt;z-index:251659264;mso-width-relative:page;mso-height-relative:page;" filled="f" stroked="t" coordsize="21600,21600" o:gfxdata="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D6N77XAAAACQEAAA8AAAAAAAAAAQAgAAAAIgAAAGRycy9k&#10;b3ducmV2LnhtbFBLAQIUABQAAAAIAIdO4kDuz3hbygEAAKEDAAAOAAAAAAAAAAEAIAAAACYBAABk&#10;cnMvZTJvRG9jLnhtbFBLBQYAAAAABgAGAFkBAABiBQAAAAA=&#10;">
                <v:fill on="f" focussize="0,0"/>
                <v:stroke color="#000000" joinstyle="round"/>
                <v:imagedata o:title=""/>
                <o:lock v:ext="edit" aspectratio="f"/>
              </v:line>
            </w:pict>
          </mc:Fallback>
        </mc:AlternateContent>
      </w:r>
    </w:p>
    <w:p>
      <w:pPr>
        <w:pStyle w:val="52"/>
      </w:pPr>
      <w:r>
        <w:rPr>
          <w:rFonts w:hint="eastAsia"/>
        </w:rPr>
        <w:t>目</w:t>
      </w:r>
      <w:r>
        <w:rPr>
          <w:rFonts w:hAnsi="黑体"/>
        </w:rPr>
        <w:t>  </w:t>
      </w:r>
      <w:r>
        <w:rPr>
          <w:rFonts w:hint="eastAsia"/>
        </w:rPr>
        <w:t>次</w:t>
      </w:r>
    </w:p>
    <w:p>
      <w:pPr>
        <w:pStyle w:val="22"/>
        <w:tabs>
          <w:tab w:val="right" w:leader="dot" w:pos="9354"/>
          <w:tab w:val="clear" w:pos="9242"/>
        </w:tabs>
      </w:pPr>
      <w:r>
        <w:rPr>
          <w:rFonts w:hAnsi="宋体"/>
          <w:kern w:val="0"/>
          <w:szCs w:val="28"/>
        </w:rPr>
        <w:fldChar w:fldCharType="begin"/>
      </w:r>
      <w:r>
        <w:rPr>
          <w:rFonts w:hAnsi="宋体"/>
          <w:kern w:val="0"/>
          <w:szCs w:val="28"/>
        </w:rPr>
        <w:instrText xml:space="preserve"> TOC \h \z \t "一级条标题,2,章标题,1,参考文献,1,附录标识,1,附录章标题,2,前言、引言标题,1" </w:instrText>
      </w:r>
      <w:r>
        <w:rPr>
          <w:rFonts w:hAnsi="宋体"/>
          <w:kern w:val="0"/>
          <w:szCs w:val="28"/>
        </w:rPr>
        <w:fldChar w:fldCharType="separate"/>
      </w:r>
      <w:r>
        <w:rPr>
          <w:rFonts w:hAnsi="宋体"/>
          <w:kern w:val="0"/>
          <w:szCs w:val="28"/>
        </w:rPr>
        <w:fldChar w:fldCharType="begin"/>
      </w:r>
      <w:r>
        <w:rPr>
          <w:rFonts w:hAnsi="宋体"/>
          <w:kern w:val="0"/>
          <w:szCs w:val="28"/>
        </w:rPr>
        <w:instrText xml:space="preserve"> HYPERLINK \l _Toc29782 </w:instrText>
      </w:r>
      <w:r>
        <w:rPr>
          <w:rFonts w:hAnsi="宋体"/>
          <w:kern w:val="0"/>
          <w:szCs w:val="28"/>
        </w:rPr>
        <w:fldChar w:fldCharType="separate"/>
      </w:r>
      <w:r>
        <w:rPr>
          <w:rFonts w:hint="eastAsia"/>
        </w:rPr>
        <w:t>前</w:t>
      </w:r>
      <w:r>
        <w:rPr>
          <w:rFonts w:hAnsi="黑体"/>
        </w:rPr>
        <w:t>  </w:t>
      </w:r>
      <w:r>
        <w:rPr>
          <w:rFonts w:hint="eastAsia"/>
        </w:rPr>
        <w:t>言</w:t>
      </w:r>
      <w:r>
        <w:tab/>
      </w:r>
      <w:r>
        <w:fldChar w:fldCharType="begin"/>
      </w:r>
      <w:r>
        <w:instrText xml:space="preserve"> PAGEREF _Toc29782 \h </w:instrText>
      </w:r>
      <w:r>
        <w:fldChar w:fldCharType="separate"/>
      </w:r>
      <w:r>
        <w:t>II</w:t>
      </w:r>
      <w:r>
        <w:fldChar w:fldCharType="end"/>
      </w:r>
      <w:r>
        <w:rPr>
          <w:rFonts w:hAnsi="宋体"/>
          <w:kern w:val="0"/>
          <w:szCs w:val="28"/>
        </w:rPr>
        <w:fldChar w:fldCharType="end"/>
      </w:r>
    </w:p>
    <w:p>
      <w:pPr>
        <w:pStyle w:val="22"/>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_Toc32737 </w:instrText>
      </w:r>
      <w:r>
        <w:rPr>
          <w:rFonts w:ascii="宋体" w:hAnsi="宋体"/>
          <w:kern w:val="0"/>
          <w:szCs w:val="28"/>
        </w:rPr>
        <w:fldChar w:fldCharType="separate"/>
      </w:r>
      <w:r>
        <w:rPr>
          <w:rFonts w:hint="eastAsia" w:eastAsia="黑体"/>
        </w:rPr>
        <w:t xml:space="preserve">1 </w:t>
      </w:r>
      <w:r>
        <w:rPr>
          <w:rFonts w:hint="eastAsia"/>
        </w:rPr>
        <w:t>范围</w:t>
      </w:r>
      <w:r>
        <w:tab/>
      </w:r>
      <w:r>
        <w:fldChar w:fldCharType="begin"/>
      </w:r>
      <w:r>
        <w:instrText xml:space="preserve"> PAGEREF _Toc32737 \h </w:instrText>
      </w:r>
      <w:r>
        <w:fldChar w:fldCharType="separate"/>
      </w:r>
      <w:r>
        <w:t>1</w:t>
      </w:r>
      <w:r>
        <w:fldChar w:fldCharType="end"/>
      </w:r>
      <w:r>
        <w:rPr>
          <w:rFonts w:ascii="宋体" w:hAnsi="宋体"/>
          <w:kern w:val="0"/>
          <w:szCs w:val="28"/>
        </w:rPr>
        <w:fldChar w:fldCharType="end"/>
      </w:r>
    </w:p>
    <w:p>
      <w:pPr>
        <w:pStyle w:val="22"/>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_Toc30272 </w:instrText>
      </w:r>
      <w:r>
        <w:rPr>
          <w:rFonts w:ascii="宋体" w:hAnsi="宋体"/>
          <w:kern w:val="0"/>
          <w:szCs w:val="28"/>
        </w:rPr>
        <w:fldChar w:fldCharType="separate"/>
      </w:r>
      <w:r>
        <w:rPr>
          <w:rFonts w:hint="eastAsia" w:eastAsia="黑体"/>
        </w:rPr>
        <w:t xml:space="preserve">2 </w:t>
      </w:r>
      <w:r>
        <w:rPr>
          <w:rFonts w:hint="eastAsia"/>
        </w:rPr>
        <w:t>规范性引用文件</w:t>
      </w:r>
      <w:r>
        <w:tab/>
      </w:r>
      <w:r>
        <w:fldChar w:fldCharType="begin"/>
      </w:r>
      <w:r>
        <w:instrText xml:space="preserve"> PAGEREF _Toc30272 \h </w:instrText>
      </w:r>
      <w:r>
        <w:fldChar w:fldCharType="separate"/>
      </w:r>
      <w:r>
        <w:t>1</w:t>
      </w:r>
      <w:r>
        <w:fldChar w:fldCharType="end"/>
      </w:r>
      <w:r>
        <w:rPr>
          <w:rFonts w:ascii="宋体" w:hAnsi="宋体"/>
          <w:kern w:val="0"/>
          <w:szCs w:val="28"/>
        </w:rPr>
        <w:fldChar w:fldCharType="end"/>
      </w:r>
    </w:p>
    <w:p>
      <w:pPr>
        <w:pStyle w:val="22"/>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_Toc31829 </w:instrText>
      </w:r>
      <w:r>
        <w:rPr>
          <w:rFonts w:ascii="宋体" w:hAnsi="宋体"/>
          <w:kern w:val="0"/>
          <w:szCs w:val="28"/>
        </w:rPr>
        <w:fldChar w:fldCharType="separate"/>
      </w:r>
      <w:r>
        <w:rPr>
          <w:rFonts w:hint="eastAsia" w:eastAsia="黑体"/>
        </w:rPr>
        <w:t xml:space="preserve">3 </w:t>
      </w:r>
      <w:r>
        <w:rPr>
          <w:rFonts w:hint="eastAsia"/>
        </w:rPr>
        <w:t>术语和定义</w:t>
      </w:r>
      <w:r>
        <w:tab/>
      </w:r>
      <w:r>
        <w:fldChar w:fldCharType="begin"/>
      </w:r>
      <w:r>
        <w:instrText xml:space="preserve"> PAGEREF _Toc31829 \h </w:instrText>
      </w:r>
      <w:r>
        <w:fldChar w:fldCharType="separate"/>
      </w:r>
      <w:r>
        <w:t>1</w:t>
      </w:r>
      <w:r>
        <w:fldChar w:fldCharType="end"/>
      </w:r>
      <w:r>
        <w:rPr>
          <w:rFonts w:ascii="宋体" w:hAnsi="宋体"/>
          <w:kern w:val="0"/>
          <w:szCs w:val="28"/>
        </w:rPr>
        <w:fldChar w:fldCharType="end"/>
      </w:r>
    </w:p>
    <w:p>
      <w:pPr>
        <w:pStyle w:val="22"/>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_Toc20975 </w:instrText>
      </w:r>
      <w:r>
        <w:rPr>
          <w:rFonts w:ascii="宋体" w:hAnsi="宋体"/>
          <w:kern w:val="0"/>
          <w:szCs w:val="28"/>
        </w:rPr>
        <w:fldChar w:fldCharType="separate"/>
      </w:r>
      <w:r>
        <w:rPr>
          <w:rFonts w:hint="eastAsia" w:eastAsia="黑体"/>
        </w:rPr>
        <w:t xml:space="preserve">4 </w:t>
      </w:r>
      <w:r>
        <w:rPr>
          <w:rFonts w:hint="eastAsia"/>
          <w:lang w:val="en-US" w:eastAsia="zh-CN"/>
        </w:rPr>
        <w:t>质量要求</w:t>
      </w:r>
      <w:r>
        <w:tab/>
      </w:r>
      <w:r>
        <w:fldChar w:fldCharType="begin"/>
      </w:r>
      <w:r>
        <w:instrText xml:space="preserve"> PAGEREF _Toc20975 \h </w:instrText>
      </w:r>
      <w:r>
        <w:fldChar w:fldCharType="separate"/>
      </w:r>
      <w:r>
        <w:t>1</w:t>
      </w:r>
      <w:r>
        <w:fldChar w:fldCharType="end"/>
      </w:r>
      <w:r>
        <w:rPr>
          <w:rFonts w:ascii="宋体" w:hAnsi="宋体"/>
          <w:kern w:val="0"/>
          <w:szCs w:val="28"/>
        </w:rPr>
        <w:fldChar w:fldCharType="end"/>
      </w:r>
    </w:p>
    <w:p>
      <w:pPr>
        <w:pStyle w:val="31"/>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_Toc28482 </w:instrText>
      </w:r>
      <w:r>
        <w:rPr>
          <w:rFonts w:ascii="宋体" w:hAnsi="宋体"/>
          <w:kern w:val="0"/>
          <w:szCs w:val="28"/>
        </w:rPr>
        <w:fldChar w:fldCharType="separate"/>
      </w:r>
      <w:r>
        <w:rPr>
          <w:rFonts w:hint="default" w:ascii="黑体" w:hAnsi="黑体" w:eastAsia="黑体" w:cs="黑体"/>
        </w:rPr>
        <w:t xml:space="preserve">4.1 </w:t>
      </w:r>
      <w:r>
        <w:rPr>
          <w:rFonts w:hint="eastAsia"/>
          <w:lang w:val="en-US" w:eastAsia="zh-CN"/>
        </w:rPr>
        <w:t>性状</w:t>
      </w:r>
      <w:r>
        <w:tab/>
      </w:r>
      <w:r>
        <w:fldChar w:fldCharType="begin"/>
      </w:r>
      <w:r>
        <w:instrText xml:space="preserve"> PAGEREF _Toc28482 \h </w:instrText>
      </w:r>
      <w:r>
        <w:fldChar w:fldCharType="separate"/>
      </w:r>
      <w:r>
        <w:t>1</w:t>
      </w:r>
      <w:r>
        <w:fldChar w:fldCharType="end"/>
      </w:r>
      <w:r>
        <w:rPr>
          <w:rFonts w:ascii="宋体" w:hAnsi="宋体"/>
          <w:kern w:val="0"/>
          <w:szCs w:val="28"/>
        </w:rPr>
        <w:fldChar w:fldCharType="end"/>
      </w:r>
    </w:p>
    <w:p>
      <w:pPr>
        <w:pStyle w:val="31"/>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_Toc31697 </w:instrText>
      </w:r>
      <w:r>
        <w:rPr>
          <w:rFonts w:ascii="宋体" w:hAnsi="宋体"/>
          <w:kern w:val="0"/>
          <w:szCs w:val="28"/>
        </w:rPr>
        <w:fldChar w:fldCharType="separate"/>
      </w:r>
      <w:r>
        <w:rPr>
          <w:rFonts w:hint="default" w:ascii="黑体" w:hAnsi="黑体" w:eastAsia="黑体" w:cs="黑体"/>
          <w:lang w:val="en-US" w:eastAsia="zh-CN"/>
        </w:rPr>
        <w:t xml:space="preserve">4.2 </w:t>
      </w:r>
      <w:r>
        <w:rPr>
          <w:rFonts w:hint="eastAsia"/>
          <w:lang w:val="en-US" w:eastAsia="zh-CN"/>
        </w:rPr>
        <w:t>理化指标</w:t>
      </w:r>
      <w:r>
        <w:tab/>
      </w:r>
      <w:r>
        <w:fldChar w:fldCharType="begin"/>
      </w:r>
      <w:r>
        <w:instrText xml:space="preserve"> PAGEREF _Toc31697 \h </w:instrText>
      </w:r>
      <w:r>
        <w:fldChar w:fldCharType="separate"/>
      </w:r>
      <w:r>
        <w:t>2</w:t>
      </w:r>
      <w:r>
        <w:fldChar w:fldCharType="end"/>
      </w:r>
      <w:r>
        <w:rPr>
          <w:rFonts w:ascii="宋体" w:hAnsi="宋体"/>
          <w:kern w:val="0"/>
          <w:szCs w:val="28"/>
        </w:rPr>
        <w:fldChar w:fldCharType="end"/>
      </w:r>
    </w:p>
    <w:p>
      <w:pPr>
        <w:pStyle w:val="31"/>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_Toc11198 </w:instrText>
      </w:r>
      <w:r>
        <w:rPr>
          <w:rFonts w:ascii="宋体" w:hAnsi="宋体"/>
          <w:kern w:val="0"/>
          <w:szCs w:val="28"/>
        </w:rPr>
        <w:fldChar w:fldCharType="separate"/>
      </w:r>
      <w:r>
        <w:rPr>
          <w:rFonts w:hint="default" w:ascii="黑体" w:hAnsi="黑体" w:eastAsia="黑体" w:cs="黑体"/>
          <w:lang w:val="en-US" w:eastAsia="zh-CN"/>
        </w:rPr>
        <w:t xml:space="preserve">4.3 </w:t>
      </w:r>
      <w:r>
        <w:rPr>
          <w:rFonts w:hint="eastAsia"/>
          <w:lang w:val="en-US" w:eastAsia="zh-CN"/>
        </w:rPr>
        <w:t>安全指标</w:t>
      </w:r>
      <w:r>
        <w:tab/>
      </w:r>
      <w:r>
        <w:fldChar w:fldCharType="begin"/>
      </w:r>
      <w:r>
        <w:instrText xml:space="preserve"> PAGEREF _Toc11198 \h </w:instrText>
      </w:r>
      <w:r>
        <w:fldChar w:fldCharType="separate"/>
      </w:r>
      <w:r>
        <w:t>3</w:t>
      </w:r>
      <w:r>
        <w:fldChar w:fldCharType="end"/>
      </w:r>
      <w:r>
        <w:rPr>
          <w:rFonts w:ascii="宋体" w:hAnsi="宋体"/>
          <w:kern w:val="0"/>
          <w:szCs w:val="28"/>
        </w:rPr>
        <w:fldChar w:fldCharType="end"/>
      </w:r>
    </w:p>
    <w:p>
      <w:pPr>
        <w:pStyle w:val="22"/>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_Toc20889 </w:instrText>
      </w:r>
      <w:r>
        <w:rPr>
          <w:rFonts w:ascii="宋体" w:hAnsi="宋体"/>
          <w:kern w:val="0"/>
          <w:szCs w:val="28"/>
        </w:rPr>
        <w:fldChar w:fldCharType="separate"/>
      </w:r>
      <w:r>
        <w:rPr>
          <w:rFonts w:hint="eastAsia" w:eastAsia="黑体"/>
        </w:rPr>
        <w:t xml:space="preserve">5 </w:t>
      </w:r>
      <w:r>
        <w:rPr>
          <w:rFonts w:hint="eastAsia"/>
          <w:lang w:val="en-US" w:eastAsia="zh-CN"/>
        </w:rPr>
        <w:t>试验方法</w:t>
      </w:r>
      <w:r>
        <w:tab/>
      </w:r>
      <w:r>
        <w:fldChar w:fldCharType="begin"/>
      </w:r>
      <w:r>
        <w:instrText xml:space="preserve"> PAGEREF _Toc20889 \h </w:instrText>
      </w:r>
      <w:r>
        <w:fldChar w:fldCharType="separate"/>
      </w:r>
      <w:r>
        <w:t>3</w:t>
      </w:r>
      <w:r>
        <w:fldChar w:fldCharType="end"/>
      </w:r>
      <w:r>
        <w:rPr>
          <w:rFonts w:ascii="宋体" w:hAnsi="宋体"/>
          <w:kern w:val="0"/>
          <w:szCs w:val="28"/>
        </w:rPr>
        <w:fldChar w:fldCharType="end"/>
      </w:r>
    </w:p>
    <w:p>
      <w:pPr>
        <w:pStyle w:val="31"/>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_Toc23513 </w:instrText>
      </w:r>
      <w:r>
        <w:rPr>
          <w:rFonts w:ascii="宋体" w:hAnsi="宋体"/>
          <w:kern w:val="0"/>
          <w:szCs w:val="28"/>
        </w:rPr>
        <w:fldChar w:fldCharType="separate"/>
      </w:r>
      <w:r>
        <w:rPr>
          <w:rFonts w:hint="default" w:ascii="黑体" w:hAnsi="黑体" w:eastAsia="黑体" w:cs="黑体"/>
        </w:rPr>
        <w:t xml:space="preserve">5.1 </w:t>
      </w:r>
      <w:r>
        <w:rPr>
          <w:rFonts w:hint="eastAsia"/>
        </w:rPr>
        <w:t>性状</w:t>
      </w:r>
      <w:r>
        <w:tab/>
      </w:r>
      <w:r>
        <w:fldChar w:fldCharType="begin"/>
      </w:r>
      <w:r>
        <w:instrText xml:space="preserve"> PAGEREF _Toc23513 \h </w:instrText>
      </w:r>
      <w:r>
        <w:fldChar w:fldCharType="separate"/>
      </w:r>
      <w:r>
        <w:t>3</w:t>
      </w:r>
      <w:r>
        <w:fldChar w:fldCharType="end"/>
      </w:r>
      <w:r>
        <w:rPr>
          <w:rFonts w:ascii="宋体" w:hAnsi="宋体"/>
          <w:kern w:val="0"/>
          <w:szCs w:val="28"/>
        </w:rPr>
        <w:fldChar w:fldCharType="end"/>
      </w:r>
    </w:p>
    <w:p>
      <w:pPr>
        <w:pStyle w:val="31"/>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_Toc13202 </w:instrText>
      </w:r>
      <w:r>
        <w:rPr>
          <w:rFonts w:ascii="宋体" w:hAnsi="宋体"/>
          <w:kern w:val="0"/>
          <w:szCs w:val="28"/>
        </w:rPr>
        <w:fldChar w:fldCharType="separate"/>
      </w:r>
      <w:r>
        <w:rPr>
          <w:rFonts w:hint="default" w:ascii="黑体" w:hAnsi="黑体" w:eastAsia="黑体" w:cs="黑体"/>
          <w:lang w:val="en-US" w:eastAsia="zh-CN"/>
        </w:rPr>
        <w:t xml:space="preserve">5.2 </w:t>
      </w:r>
      <w:r>
        <w:rPr>
          <w:rFonts w:hint="eastAsia"/>
          <w:lang w:val="en-US" w:eastAsia="zh-CN"/>
        </w:rPr>
        <w:t>理化指标</w:t>
      </w:r>
      <w:r>
        <w:tab/>
      </w:r>
      <w:r>
        <w:fldChar w:fldCharType="begin"/>
      </w:r>
      <w:r>
        <w:instrText xml:space="preserve"> PAGEREF _Toc13202 \h </w:instrText>
      </w:r>
      <w:r>
        <w:fldChar w:fldCharType="separate"/>
      </w:r>
      <w:r>
        <w:t>3</w:t>
      </w:r>
      <w:r>
        <w:fldChar w:fldCharType="end"/>
      </w:r>
      <w:r>
        <w:rPr>
          <w:rFonts w:ascii="宋体" w:hAnsi="宋体"/>
          <w:kern w:val="0"/>
          <w:szCs w:val="28"/>
        </w:rPr>
        <w:fldChar w:fldCharType="end"/>
      </w:r>
    </w:p>
    <w:p>
      <w:pPr>
        <w:pStyle w:val="31"/>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_Toc19241 </w:instrText>
      </w:r>
      <w:r>
        <w:rPr>
          <w:rFonts w:ascii="宋体" w:hAnsi="宋体"/>
          <w:kern w:val="0"/>
          <w:szCs w:val="28"/>
        </w:rPr>
        <w:fldChar w:fldCharType="separate"/>
      </w:r>
      <w:r>
        <w:rPr>
          <w:rFonts w:hint="default" w:ascii="黑体" w:hAnsi="黑体" w:eastAsia="黑体" w:cs="黑体"/>
          <w:lang w:val="en-US" w:eastAsia="zh-CN"/>
        </w:rPr>
        <w:t xml:space="preserve">5.3 </w:t>
      </w:r>
      <w:r>
        <w:rPr>
          <w:rFonts w:hint="eastAsia"/>
          <w:lang w:val="en-US" w:eastAsia="zh-CN"/>
        </w:rPr>
        <w:t>安全指标</w:t>
      </w:r>
      <w:r>
        <w:tab/>
      </w:r>
      <w:r>
        <w:fldChar w:fldCharType="begin"/>
      </w:r>
      <w:r>
        <w:instrText xml:space="preserve"> PAGEREF _Toc19241 \h </w:instrText>
      </w:r>
      <w:r>
        <w:fldChar w:fldCharType="separate"/>
      </w:r>
      <w:r>
        <w:t>3</w:t>
      </w:r>
      <w:r>
        <w:fldChar w:fldCharType="end"/>
      </w:r>
      <w:r>
        <w:rPr>
          <w:rFonts w:ascii="宋体" w:hAnsi="宋体"/>
          <w:kern w:val="0"/>
          <w:szCs w:val="28"/>
        </w:rPr>
        <w:fldChar w:fldCharType="end"/>
      </w:r>
    </w:p>
    <w:p>
      <w:pPr>
        <w:pStyle w:val="22"/>
        <w:tabs>
          <w:tab w:val="right" w:leader="dot" w:pos="9354"/>
          <w:tab w:val="clear" w:pos="9242"/>
        </w:tabs>
      </w:pPr>
      <w:r>
        <w:rPr>
          <w:rFonts w:ascii="宋体" w:hAnsi="宋体"/>
          <w:kern w:val="0"/>
          <w:szCs w:val="28"/>
        </w:rPr>
        <w:fldChar w:fldCharType="begin"/>
      </w:r>
      <w:r>
        <w:rPr>
          <w:rFonts w:ascii="宋体" w:hAnsi="宋体"/>
          <w:kern w:val="0"/>
          <w:szCs w:val="28"/>
        </w:rPr>
        <w:instrText xml:space="preserve"> HYPERLINK \l _Toc24980 </w:instrText>
      </w:r>
      <w:r>
        <w:rPr>
          <w:rFonts w:ascii="宋体" w:hAnsi="宋体"/>
          <w:kern w:val="0"/>
          <w:szCs w:val="28"/>
        </w:rPr>
        <w:fldChar w:fldCharType="separate"/>
      </w:r>
      <w:r>
        <w:rPr>
          <w:rFonts w:hint="eastAsia" w:ascii="黑体" w:hAnsi="Times New Roman" w:eastAsia="黑体" w:cs="Times New Roman"/>
          <w:i w:val="0"/>
          <w:spacing w:val="0"/>
          <w:w w:val="100"/>
          <w:kern w:val="0"/>
          <w:szCs w:val="24"/>
          <w:lang w:val="en-US" w:eastAsia="zh-CN" w:bidi="ar"/>
        </w:rPr>
        <w:t xml:space="preserve">附　录　A </w:t>
      </w:r>
      <w:r>
        <w:t xml:space="preserve"> </w:t>
      </w:r>
      <w:r>
        <w:rPr>
          <w:rFonts w:hint="eastAsia"/>
        </w:rPr>
        <w:t>（</w:t>
      </w:r>
      <w:r>
        <w:rPr>
          <w:rFonts w:hint="eastAsia"/>
          <w:lang w:val="en-US" w:eastAsia="zh-CN"/>
        </w:rPr>
        <w:t>资料性</w:t>
      </w:r>
      <w:r>
        <w:rPr>
          <w:rFonts w:hint="eastAsia"/>
        </w:rPr>
        <w:t>）</w:t>
      </w:r>
      <w:r>
        <w:t xml:space="preserve"> </w:t>
      </w:r>
      <w:r>
        <w:rPr>
          <w:rFonts w:hint="eastAsia"/>
          <w:szCs w:val="21"/>
          <w:lang w:val="en-US" w:eastAsia="zh-CN"/>
        </w:rPr>
        <w:t>葡萄籽</w:t>
      </w:r>
      <w:r>
        <w:rPr>
          <w:rFonts w:hint="eastAsia" w:asciiTheme="majorEastAsia" w:hAnsiTheme="majorEastAsia" w:eastAsiaTheme="majorEastAsia" w:cstheme="majorEastAsia"/>
          <w:kern w:val="0"/>
          <w:szCs w:val="21"/>
          <w:lang w:val="en-US" w:eastAsia="zh-CN" w:bidi="ar"/>
        </w:rPr>
        <w:t>鉴别</w:t>
      </w:r>
      <w:r>
        <w:rPr>
          <w:rFonts w:hint="eastAsia" w:ascii="Times New Roman" w:hAnsi="Times New Roman" w:cs="Times New Roman"/>
          <w:kern w:val="0"/>
          <w:szCs w:val="21"/>
          <w:lang w:val="en-US" w:eastAsia="zh-CN" w:bidi="ar"/>
        </w:rPr>
        <w:t>图谱</w:t>
      </w:r>
      <w:r>
        <w:tab/>
      </w:r>
      <w:r>
        <w:fldChar w:fldCharType="begin"/>
      </w:r>
      <w:r>
        <w:instrText xml:space="preserve"> PAGEREF _Toc24980 \h </w:instrText>
      </w:r>
      <w:r>
        <w:fldChar w:fldCharType="separate"/>
      </w:r>
      <w:r>
        <w:t>4</w:t>
      </w:r>
      <w:r>
        <w:fldChar w:fldCharType="end"/>
      </w:r>
      <w:r>
        <w:rPr>
          <w:rFonts w:ascii="宋体" w:hAnsi="宋体"/>
          <w:kern w:val="0"/>
          <w:szCs w:val="28"/>
        </w:rPr>
        <w:fldChar w:fldCharType="end"/>
      </w:r>
    </w:p>
    <w:p>
      <w:pPr>
        <w:tabs>
          <w:tab w:val="left" w:pos="8647"/>
        </w:tabs>
        <w:ind w:firstLine="420" w:firstLineChars="200"/>
        <w:rPr>
          <w:rFonts w:ascii="宋体" w:hAnsi="宋体"/>
          <w:color w:val="0070C0"/>
          <w:szCs w:val="28"/>
        </w:rPr>
      </w:pPr>
      <w:r>
        <w:rPr>
          <w:rFonts w:ascii="宋体" w:hAnsi="宋体"/>
          <w:kern w:val="0"/>
          <w:szCs w:val="28"/>
        </w:rPr>
        <w:fldChar w:fldCharType="end"/>
      </w:r>
      <w:r>
        <w:rPr>
          <w:rFonts w:hint="eastAsia" w:ascii="宋体" w:hAnsi="宋体"/>
          <w:color w:val="0070C0"/>
          <w:kern w:val="0"/>
          <w:szCs w:val="28"/>
        </w:rPr>
        <w:t>（采用</w:t>
      </w:r>
      <w:r>
        <w:rPr>
          <w:rFonts w:ascii="宋体" w:hAnsi="宋体"/>
          <w:color w:val="0070C0"/>
          <w:kern w:val="0"/>
          <w:szCs w:val="28"/>
        </w:rPr>
        <w:t>更新目录</w:t>
      </w:r>
      <w:r>
        <w:rPr>
          <w:rFonts w:hint="eastAsia" w:ascii="宋体" w:hAnsi="宋体"/>
          <w:color w:val="0070C0"/>
          <w:kern w:val="0"/>
          <w:szCs w:val="28"/>
        </w:rPr>
        <w:t>）</w:t>
      </w:r>
    </w:p>
    <w:p>
      <w:pPr>
        <w:pStyle w:val="114"/>
      </w:pPr>
      <w:bookmarkStart w:id="2" w:name="_Toc29782"/>
      <w:bookmarkStart w:id="3" w:name="_Toc475694823"/>
      <w:r>
        <w:rPr>
          <w:rFonts w:hint="eastAsia"/>
        </w:rPr>
        <w:t>前</w:t>
      </w:r>
      <w:bookmarkStart w:id="4" w:name="BKQY"/>
      <w:r>
        <w:rPr>
          <w:rFonts w:hAnsi="黑体"/>
        </w:rPr>
        <w:t>  </w:t>
      </w:r>
      <w:r>
        <w:rPr>
          <w:rFonts w:hint="eastAsia"/>
        </w:rPr>
        <w:t>言</w:t>
      </w:r>
      <w:bookmarkEnd w:id="2"/>
      <w:bookmarkEnd w:id="3"/>
      <w:bookmarkEnd w:id="4"/>
    </w:p>
    <w:p>
      <w:pPr>
        <w:ind w:firstLine="420" w:firstLineChars="200"/>
        <w:rPr>
          <w:rFonts w:ascii="宋体" w:hAnsi="宋体"/>
          <w:szCs w:val="28"/>
        </w:rPr>
      </w:pPr>
      <w:r>
        <w:rPr>
          <w:rFonts w:hint="eastAsia" w:ascii="宋体" w:hAnsi="宋体"/>
          <w:szCs w:val="28"/>
        </w:rPr>
        <w:t>本文件按照GB/T 1.1—20</w:t>
      </w:r>
      <w:r>
        <w:rPr>
          <w:rFonts w:ascii="宋体" w:hAnsi="宋体"/>
          <w:szCs w:val="28"/>
        </w:rPr>
        <w:t>20</w:t>
      </w:r>
      <w:r>
        <w:rPr>
          <w:rFonts w:hint="eastAsia" w:ascii="宋体" w:hAnsi="宋体"/>
          <w:szCs w:val="28"/>
        </w:rPr>
        <w:t>《标准化工作导则 第1部分：标准化文件的结构和起草规则》的规定起草。</w:t>
      </w:r>
    </w:p>
    <w:p>
      <w:pPr>
        <w:ind w:firstLine="420" w:firstLineChars="200"/>
        <w:rPr>
          <w:rFonts w:hint="eastAsia" w:ascii="宋体"/>
          <w:kern w:val="0"/>
          <w:szCs w:val="20"/>
        </w:rPr>
      </w:pPr>
      <w:r>
        <w:rPr>
          <w:rFonts w:hint="eastAsia" w:ascii="宋体"/>
          <w:kern w:val="0"/>
          <w:szCs w:val="20"/>
        </w:rPr>
        <w:t>请注意本文件的某些内容可能涉及专利。本文件的发布机构不承担识别专利的责任。</w:t>
      </w:r>
    </w:p>
    <w:p>
      <w:pPr>
        <w:ind w:firstLine="420" w:firstLineChars="200"/>
        <w:rPr>
          <w:rFonts w:ascii="宋体" w:hAnsi="宋体"/>
          <w:szCs w:val="28"/>
        </w:rPr>
      </w:pPr>
      <w:r>
        <w:rPr>
          <w:rFonts w:hint="eastAsia" w:ascii="宋体" w:hAnsi="宋体"/>
          <w:szCs w:val="28"/>
        </w:rPr>
        <w:t>本文件由</w:t>
      </w:r>
      <w:r>
        <w:rPr>
          <w:rFonts w:hint="eastAsia"/>
          <w:color w:val="auto"/>
          <w:lang w:val="en-US" w:eastAsia="zh-CN"/>
        </w:rPr>
        <w:t>河北中医药大学、河北仁心药业有限公司、河北安国振宇药业有限公司</w:t>
      </w:r>
      <w:r>
        <w:rPr>
          <w:rFonts w:hint="eastAsia" w:ascii="宋体" w:hAnsi="宋体"/>
          <w:szCs w:val="28"/>
        </w:rPr>
        <w:t>提出。</w:t>
      </w:r>
    </w:p>
    <w:p>
      <w:pPr>
        <w:ind w:firstLine="420" w:firstLineChars="200"/>
        <w:rPr>
          <w:rFonts w:ascii="宋体" w:hAnsi="宋体"/>
          <w:szCs w:val="28"/>
        </w:rPr>
      </w:pPr>
      <w:r>
        <w:rPr>
          <w:rFonts w:hint="eastAsia" w:ascii="宋体" w:hAnsi="宋体"/>
          <w:szCs w:val="28"/>
        </w:rPr>
        <w:t>本文件由</w:t>
      </w:r>
      <w:r>
        <w:rPr>
          <w:rFonts w:hint="eastAsia"/>
          <w:color w:val="auto"/>
          <w:lang w:val="en-US" w:eastAsia="zh-CN"/>
        </w:rPr>
        <w:t>河北省药学会</w:t>
      </w:r>
      <w:r>
        <w:rPr>
          <w:rFonts w:hint="eastAsia" w:ascii="宋体" w:hAnsi="宋体"/>
          <w:szCs w:val="28"/>
        </w:rPr>
        <w:t>归口。</w:t>
      </w:r>
    </w:p>
    <w:p>
      <w:pPr>
        <w:ind w:firstLine="420" w:firstLineChars="200"/>
        <w:rPr>
          <w:rFonts w:ascii="宋体" w:hAnsi="宋体"/>
          <w:szCs w:val="28"/>
        </w:rPr>
      </w:pPr>
      <w:r>
        <w:rPr>
          <w:rFonts w:hint="eastAsia" w:ascii="宋体" w:hAnsi="宋体"/>
          <w:szCs w:val="28"/>
        </w:rPr>
        <w:t>本文件</w:t>
      </w:r>
      <w:r>
        <w:rPr>
          <w:rFonts w:ascii="宋体" w:hAnsi="宋体"/>
          <w:szCs w:val="28"/>
        </w:rPr>
        <w:t>起草单位：</w:t>
      </w:r>
      <w:r>
        <w:rPr>
          <w:rFonts w:hint="eastAsia" w:ascii="宋体" w:hAnsi="宋体"/>
          <w:szCs w:val="28"/>
          <w:lang w:val="en-US" w:eastAsia="zh-CN"/>
        </w:rPr>
        <w:t>河北中医药大学、河北仁心药业有限公司、河北安国振宇药业有限公司</w:t>
      </w:r>
      <w:r>
        <w:rPr>
          <w:rFonts w:hint="eastAsia" w:ascii="宋体" w:hAnsi="宋体"/>
          <w:szCs w:val="28"/>
        </w:rPr>
        <w:t>。</w:t>
      </w:r>
    </w:p>
    <w:p>
      <w:pPr>
        <w:ind w:firstLine="420" w:firstLineChars="200"/>
        <w:rPr>
          <w:rFonts w:ascii="宋体" w:hAnsi="宋体"/>
          <w:szCs w:val="28"/>
        </w:rPr>
      </w:pPr>
      <w:r>
        <w:rPr>
          <w:rFonts w:hint="eastAsia" w:ascii="宋体" w:hAnsi="宋体"/>
          <w:szCs w:val="28"/>
        </w:rPr>
        <w:t>本文件主要起草人：姜晓娅、冯薇、牛丽颖、王鑫</w:t>
      </w:r>
      <w:r>
        <w:rPr>
          <w:rFonts w:hint="eastAsia" w:ascii="宋体" w:hAnsi="宋体"/>
          <w:szCs w:val="28"/>
          <w:lang w:val="en-US" w:eastAsia="zh-CN"/>
        </w:rPr>
        <w:t>国</w:t>
      </w:r>
      <w:r>
        <w:rPr>
          <w:rFonts w:hint="eastAsia" w:ascii="宋体" w:hAnsi="宋体"/>
          <w:szCs w:val="28"/>
        </w:rPr>
        <w:t>。</w:t>
      </w:r>
    </w:p>
    <w:p>
      <w:pPr>
        <w:widowControl/>
        <w:jc w:val="left"/>
      </w:pPr>
      <w:r>
        <w:br w:type="page"/>
      </w:r>
    </w:p>
    <w:p>
      <w:pPr>
        <w:pStyle w:val="26"/>
        <w:sectPr>
          <w:headerReference r:id="rId9" w:type="default"/>
          <w:footerReference r:id="rId10" w:type="default"/>
          <w:pgSz w:w="11906" w:h="16838"/>
          <w:pgMar w:top="567" w:right="1134" w:bottom="1134" w:left="1418" w:header="1418" w:footer="1134" w:gutter="0"/>
          <w:pgNumType w:fmt="upperRoman" w:start="1"/>
          <w:cols w:space="425" w:num="1"/>
          <w:formProt w:val="0"/>
          <w:docGrid w:type="lines" w:linePitch="312" w:charSpace="0"/>
        </w:sectPr>
      </w:pPr>
    </w:p>
    <w:p>
      <w:pPr>
        <w:pStyle w:val="52"/>
      </w:pPr>
      <w:r>
        <w:rPr>
          <w:rFonts w:hint="eastAsia"/>
          <w:lang w:val="en-US" w:eastAsia="zh-CN"/>
        </w:rPr>
        <w:t>葡萄籽质量标</w:t>
      </w:r>
      <w:r>
        <w:rPr>
          <w:rFonts w:hint="eastAsia"/>
        </w:rPr>
        <w:t>准</w:t>
      </w:r>
    </w:p>
    <w:p>
      <w:pPr>
        <w:pStyle w:val="47"/>
      </w:pPr>
      <w:bookmarkStart w:id="5" w:name="_Toc32737"/>
      <w:bookmarkStart w:id="6" w:name="_Toc475694825"/>
      <w:r>
        <w:rPr>
          <w:rFonts w:hint="eastAsia"/>
        </w:rPr>
        <w:t>范围</w:t>
      </w:r>
      <w:bookmarkEnd w:id="5"/>
      <w:bookmarkEnd w:id="6"/>
    </w:p>
    <w:p>
      <w:pPr>
        <w:pStyle w:val="26"/>
        <w:tabs>
          <w:tab w:val="clear" w:pos="4201"/>
          <w:tab w:val="clear" w:pos="9298"/>
        </w:tabs>
      </w:pPr>
      <w:r>
        <w:rPr>
          <w:rFonts w:hint="eastAsia"/>
        </w:rPr>
        <w:t>本文件规定了葡萄籽的质量要求</w:t>
      </w:r>
      <w:r>
        <w:rPr>
          <w:rFonts w:hint="eastAsia"/>
          <w:lang w:val="en-US" w:eastAsia="zh-CN"/>
        </w:rPr>
        <w:t>和</w:t>
      </w:r>
      <w:r>
        <w:rPr>
          <w:rFonts w:hint="eastAsia"/>
        </w:rPr>
        <w:t>试验方法。</w:t>
      </w:r>
    </w:p>
    <w:p>
      <w:pPr>
        <w:pStyle w:val="26"/>
      </w:pPr>
      <w:r>
        <w:rPr>
          <w:rFonts w:hint="eastAsia"/>
        </w:rPr>
        <w:t>本文件适用于</w:t>
      </w:r>
      <w:r>
        <w:rPr>
          <w:rFonts w:hint="eastAsia"/>
          <w:lang w:val="en-US" w:eastAsia="zh-CN"/>
        </w:rPr>
        <w:t>葡萄籽Vitis vinifera L. 原料的质量控制</w:t>
      </w:r>
      <w:r>
        <w:rPr>
          <w:rFonts w:hint="eastAsia"/>
        </w:rPr>
        <w:t>。</w:t>
      </w:r>
    </w:p>
    <w:p>
      <w:pPr>
        <w:pStyle w:val="47"/>
      </w:pPr>
      <w:bookmarkStart w:id="7" w:name="_Toc30272"/>
      <w:bookmarkStart w:id="8" w:name="_Toc475694826"/>
      <w:r>
        <w:rPr>
          <w:rFonts w:hint="eastAsia"/>
        </w:rPr>
        <w:t>规范性引用文件</w:t>
      </w:r>
      <w:bookmarkEnd w:id="7"/>
      <w:bookmarkEnd w:id="8"/>
    </w:p>
    <w:p>
      <w:pPr>
        <w:pStyle w:val="26"/>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6"/>
        <w:rPr>
          <w:rFonts w:hint="default" w:eastAsia="宋体"/>
          <w:lang w:val="en-US" w:eastAsia="zh-CN"/>
        </w:rPr>
      </w:pPr>
      <w:r>
        <w:rPr>
          <w:rFonts w:hint="eastAsia"/>
          <w:lang w:val="en-US" w:eastAsia="zh-CN"/>
        </w:rPr>
        <w:t>2020年版《中华人民共和国药典》一部</w:t>
      </w:r>
    </w:p>
    <w:p>
      <w:pPr>
        <w:pStyle w:val="47"/>
      </w:pPr>
      <w:bookmarkStart w:id="9" w:name="_Toc31829"/>
      <w:bookmarkStart w:id="10" w:name="_Toc475694827"/>
      <w:r>
        <w:rPr>
          <w:rFonts w:hint="eastAsia"/>
        </w:rPr>
        <w:t>术语和定义</w:t>
      </w:r>
      <w:bookmarkEnd w:id="9"/>
      <w:bookmarkEnd w:id="10"/>
    </w:p>
    <w:p>
      <w:pPr>
        <w:pStyle w:val="26"/>
        <w:rPr>
          <w:color w:val="000000"/>
        </w:rPr>
      </w:pPr>
      <w:r>
        <w:rPr>
          <w:rFonts w:hint="eastAsia"/>
          <w:color w:val="000000"/>
        </w:rPr>
        <w:t>下列术语和定义适用于本文件。</w:t>
      </w:r>
    </w:p>
    <w:p>
      <w:pPr>
        <w:pStyle w:val="147"/>
      </w:pPr>
    </w:p>
    <w:p>
      <w:pPr>
        <w:pStyle w:val="149"/>
      </w:pPr>
      <w:r>
        <w:rPr>
          <w:rFonts w:hint="eastAsia"/>
          <w:lang w:val="en-US" w:eastAsia="zh-CN"/>
        </w:rPr>
        <w:t>葡萄籽</w:t>
      </w:r>
      <w:r>
        <w:rPr>
          <w:rFonts w:hint="eastAsia"/>
        </w:rPr>
        <w:t xml:space="preserve"> </w:t>
      </w:r>
      <w:r>
        <w:rPr>
          <w:rFonts w:hint="eastAsia"/>
          <w:lang w:val="en-US" w:eastAsia="zh-CN"/>
        </w:rPr>
        <w:t>g</w:t>
      </w:r>
      <w:r>
        <w:rPr>
          <w:rFonts w:hint="eastAsia"/>
        </w:rPr>
        <w:t xml:space="preserve">rape </w:t>
      </w:r>
      <w:r>
        <w:rPr>
          <w:rFonts w:hint="eastAsia"/>
          <w:lang w:val="en-US" w:eastAsia="zh-CN"/>
        </w:rPr>
        <w:t>s</w:t>
      </w:r>
      <w:r>
        <w:rPr>
          <w:rFonts w:hint="eastAsia"/>
        </w:rPr>
        <w:t>eed</w:t>
      </w:r>
    </w:p>
    <w:p>
      <w:pPr>
        <w:pStyle w:val="26"/>
        <w:rPr>
          <w:rFonts w:ascii="Tahoma" w:hAnsi="Tahoma" w:cs="Tahoma"/>
          <w:color w:val="000000"/>
          <w:szCs w:val="21"/>
          <w:shd w:val="clear" w:color="auto" w:fill="FFFFFF"/>
        </w:rPr>
      </w:pPr>
      <w:r>
        <w:rPr>
          <w:rFonts w:hint="eastAsia"/>
        </w:rPr>
        <w:t>为葡萄科植物葡萄Vitis vinifera L. 的干燥种子</w:t>
      </w:r>
      <w:r>
        <w:rPr>
          <w:rFonts w:hint="eastAsia" w:ascii="Tahoma" w:hAnsi="Tahoma" w:cs="Tahoma"/>
          <w:color w:val="000000"/>
          <w:szCs w:val="21"/>
          <w:shd w:val="clear" w:color="auto" w:fill="FFFFFF"/>
        </w:rPr>
        <w:t>。</w:t>
      </w:r>
    </w:p>
    <w:p>
      <w:pPr>
        <w:pStyle w:val="47"/>
      </w:pPr>
      <w:bookmarkStart w:id="11" w:name="_Toc20975"/>
      <w:r>
        <w:rPr>
          <w:rFonts w:hint="eastAsia"/>
          <w:lang w:val="en-US" w:eastAsia="zh-CN"/>
        </w:rPr>
        <w:t>质量要求</w:t>
      </w:r>
      <w:bookmarkEnd w:id="11"/>
    </w:p>
    <w:p>
      <w:pPr>
        <w:pStyle w:val="44"/>
        <w:spacing w:before="156" w:after="156"/>
      </w:pPr>
      <w:bookmarkStart w:id="12" w:name="_Toc28482"/>
      <w:r>
        <w:rPr>
          <w:rFonts w:hint="eastAsia"/>
          <w:lang w:val="en-US" w:eastAsia="zh-CN"/>
        </w:rPr>
        <w:t>性状</w:t>
      </w:r>
      <w:bookmarkEnd w:id="12"/>
    </w:p>
    <w:p>
      <w:pPr>
        <w:pStyle w:val="148"/>
        <w:bidi w:val="0"/>
        <w:rPr>
          <w:rFonts w:hint="eastAsia"/>
        </w:rPr>
      </w:pPr>
      <w:r>
        <w:rPr>
          <w:rFonts w:hint="eastAsia"/>
        </w:rPr>
        <w:t>呈扁椭圆形，表面棕色或者棕红色，中央有一条棱脊（或常有一凹沟），一侧有尖</w:t>
      </w:r>
      <w:r>
        <w:rPr>
          <w:rFonts w:hint="eastAsia"/>
          <w:lang w:eastAsia="zh-CN"/>
        </w:rPr>
        <w:t>，</w:t>
      </w:r>
      <w:r>
        <w:rPr>
          <w:rFonts w:hint="eastAsia"/>
          <w:lang w:val="en-US" w:eastAsia="zh-CN"/>
        </w:rPr>
        <w:t>见图1。</w:t>
      </w:r>
    </w:p>
    <w:p>
      <w:pPr>
        <w:pStyle w:val="148"/>
        <w:bidi w:val="0"/>
        <w:rPr>
          <w:rFonts w:hint="eastAsia"/>
        </w:rPr>
      </w:pPr>
      <w:r>
        <w:rPr>
          <w:rFonts w:hint="eastAsia"/>
        </w:rPr>
        <w:t>内种皮膜质，显油性</w:t>
      </w:r>
      <w:r>
        <w:rPr>
          <w:rFonts w:hint="eastAsia"/>
          <w:lang w:eastAsia="zh-CN"/>
        </w:rPr>
        <w:t>，</w:t>
      </w:r>
      <w:r>
        <w:rPr>
          <w:rFonts w:hint="eastAsia"/>
        </w:rPr>
        <w:t>浅黄棕色至黄棕色，</w:t>
      </w:r>
      <w:r>
        <w:rPr>
          <w:rFonts w:hint="eastAsia"/>
          <w:lang w:val="en-US" w:eastAsia="zh-CN"/>
        </w:rPr>
        <w:t>在显微镜下观察，呈现以下特征，见图2：</w:t>
      </w:r>
    </w:p>
    <w:p>
      <w:pPr>
        <w:pStyle w:val="50"/>
        <w:bidi w:val="0"/>
        <w:rPr>
          <w:rFonts w:hint="eastAsia"/>
        </w:rPr>
      </w:pPr>
      <w:r>
        <w:rPr>
          <w:rFonts w:hint="eastAsia" w:ascii="Times New Roman" w:hAnsi="Times New Roman" w:eastAsia="宋体" w:cs="Times New Roman"/>
          <w:color w:val="000000"/>
          <w:sz w:val="21"/>
          <w:szCs w:val="21"/>
          <w:lang w:val="en-US" w:eastAsia="zh-CN" w:bidi="ar"/>
        </w:rPr>
        <w:t>表面观多角形，壁厚，木化</w:t>
      </w:r>
      <w:r>
        <w:rPr>
          <w:rFonts w:hint="eastAsia" w:ascii="Times New Roman" w:cs="Times New Roman"/>
          <w:color w:val="000000"/>
          <w:sz w:val="21"/>
          <w:szCs w:val="21"/>
          <w:lang w:val="en-US" w:eastAsia="zh-CN" w:bidi="ar"/>
        </w:rPr>
        <w:t>；</w:t>
      </w:r>
    </w:p>
    <w:p>
      <w:pPr>
        <w:pStyle w:val="50"/>
        <w:bidi w:val="0"/>
        <w:rPr>
          <w:rFonts w:hint="eastAsia"/>
        </w:rPr>
      </w:pPr>
      <w:r>
        <w:rPr>
          <w:rFonts w:hint="eastAsia" w:ascii="Times New Roman" w:hAnsi="Times New Roman" w:eastAsia="宋体" w:cs="Times New Roman"/>
          <w:color w:val="000000"/>
          <w:sz w:val="21"/>
          <w:szCs w:val="21"/>
          <w:lang w:val="en-US" w:eastAsia="zh-CN" w:bidi="ar"/>
        </w:rPr>
        <w:t>侧面观呈长条形，粘液细胞含细小草酸钙针晶，油细胞呈圆形</w:t>
      </w:r>
      <w:r>
        <w:rPr>
          <w:rFonts w:hint="eastAsia" w:ascii="Times New Roman" w:cs="Times New Roman"/>
          <w:color w:val="000000"/>
          <w:sz w:val="21"/>
          <w:szCs w:val="21"/>
          <w:lang w:val="en-US" w:eastAsia="zh-CN" w:bidi="ar"/>
        </w:rPr>
        <w:t>；</w:t>
      </w:r>
    </w:p>
    <w:p>
      <w:pPr>
        <w:pStyle w:val="50"/>
        <w:bidi w:val="0"/>
        <w:rPr>
          <w:rFonts w:hint="eastAsia"/>
        </w:rPr>
      </w:pPr>
      <w:r>
        <w:rPr>
          <w:rFonts w:hint="eastAsia" w:ascii="Times New Roman" w:hAnsi="Times New Roman" w:eastAsia="宋体" w:cs="Times New Roman"/>
          <w:color w:val="000000"/>
          <w:sz w:val="21"/>
          <w:szCs w:val="21"/>
          <w:lang w:val="en-US" w:eastAsia="zh-CN" w:bidi="ar"/>
        </w:rPr>
        <w:t>石细胞呈椭圆形，中间有沟壑</w:t>
      </w:r>
      <w:r>
        <w:rPr>
          <w:rFonts w:hint="eastAsia" w:ascii="Times New Roman" w:cs="Times New Roman"/>
          <w:color w:val="000000"/>
          <w:sz w:val="21"/>
          <w:szCs w:val="21"/>
          <w:lang w:val="en-US" w:eastAsia="zh-CN" w:bidi="ar"/>
        </w:rPr>
        <w:t>；</w:t>
      </w:r>
    </w:p>
    <w:p>
      <w:pPr>
        <w:pStyle w:val="50"/>
        <w:bidi w:val="0"/>
        <w:rPr>
          <w:rFonts w:hint="eastAsia"/>
        </w:rPr>
      </w:pPr>
      <w:r>
        <w:rPr>
          <w:rFonts w:hint="eastAsia" w:ascii="Times New Roman" w:hAnsi="Times New Roman" w:eastAsia="宋体" w:cs="Times New Roman"/>
          <w:color w:val="000000"/>
          <w:sz w:val="21"/>
          <w:szCs w:val="21"/>
          <w:lang w:val="en-US" w:eastAsia="zh-CN" w:bidi="ar"/>
        </w:rPr>
        <w:t>胚乳细胞壁连珠状增厚</w:t>
      </w:r>
      <w:r>
        <w:rPr>
          <w:rFonts w:hint="eastAsia"/>
          <w:lang w:val="en-US" w:eastAsia="zh-CN"/>
        </w:rPr>
        <w:t>。</w:t>
      </w:r>
    </w:p>
    <w:p>
      <w:pPr>
        <w:pStyle w:val="148"/>
        <w:bidi w:val="0"/>
        <w:rPr>
          <w:rFonts w:hint="eastAsia"/>
        </w:rPr>
      </w:pPr>
      <w:r>
        <w:rPr>
          <w:rFonts w:hint="eastAsia"/>
        </w:rPr>
        <w:t>味苦，微甜。</w:t>
      </w:r>
    </w:p>
    <w:p>
      <w:pPr>
        <w:pStyle w:val="148"/>
        <w:bidi w:val="0"/>
        <w:rPr>
          <w:rFonts w:hint="eastAsia"/>
        </w:rPr>
      </w:pPr>
      <w:r>
        <w:rPr>
          <w:rFonts w:hint="eastAsia" w:ascii="Times New Roman" w:hAnsi="Times New Roman" w:eastAsia="宋体" w:cs="Times New Roman"/>
          <w:color w:val="000000"/>
          <w:sz w:val="21"/>
          <w:szCs w:val="21"/>
          <w:lang w:val="en-US" w:eastAsia="zh-CN" w:bidi="ar"/>
        </w:rPr>
        <w:t>碾压后的粉末呈棕色或棕红色。</w:t>
      </w:r>
    </w:p>
    <w:p>
      <w:pPr>
        <w:pStyle w:val="148"/>
        <w:numPr>
          <w:ilvl w:val="2"/>
          <w:numId w:val="0"/>
        </w:numPr>
        <w:bidi w:val="0"/>
        <w:ind w:leftChars="0"/>
        <w:jc w:val="center"/>
        <w:rPr>
          <w:rFonts w:hint="default" w:ascii="Times New Roman" w:hAnsi="Times New Roman" w:eastAsia="宋体" w:cs="Times New Roman"/>
          <w:kern w:val="2"/>
          <w:sz w:val="21"/>
          <w:szCs w:val="24"/>
          <w:lang w:val="en-US" w:eastAsia="zh-CN" w:bidi="ar"/>
        </w:rPr>
      </w:pPr>
      <w:r>
        <w:rPr>
          <w:rFonts w:hint="default" w:ascii="Times New Roman" w:hAnsi="Times New Roman" w:eastAsia="宋体" w:cs="Times New Roman"/>
          <w:kern w:val="2"/>
          <w:sz w:val="21"/>
          <w:szCs w:val="24"/>
          <w:lang w:val="en-US" w:eastAsia="zh-CN" w:bidi="ar"/>
        </w:rPr>
        <w:drawing>
          <wp:inline distT="0" distB="0" distL="114300" distR="114300">
            <wp:extent cx="2051685" cy="1604645"/>
            <wp:effectExtent l="0" t="0" r="571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lum bright="6000"/>
                    </a:blip>
                    <a:srcRect r="66560" b="12949"/>
                    <a:stretch>
                      <a:fillRect/>
                    </a:stretch>
                  </pic:blipFill>
                  <pic:spPr>
                    <a:xfrm>
                      <a:off x="0" y="0"/>
                      <a:ext cx="2051685" cy="1604645"/>
                    </a:xfrm>
                    <a:prstGeom prst="rect">
                      <a:avLst/>
                    </a:prstGeom>
                    <a:noFill/>
                    <a:ln>
                      <a:noFill/>
                    </a:ln>
                  </pic:spPr>
                </pic:pic>
              </a:graphicData>
            </a:graphic>
          </wp:inline>
        </w:drawing>
      </w:r>
    </w:p>
    <w:p>
      <w:pPr>
        <w:pStyle w:val="148"/>
        <w:numPr>
          <w:ilvl w:val="2"/>
          <w:numId w:val="0"/>
        </w:numPr>
        <w:bidi w:val="0"/>
        <w:ind w:leftChars="0"/>
        <w:jc w:val="center"/>
        <w:rPr>
          <w:rFonts w:hint="eastAsia" w:ascii="黑体" w:hAnsi="黑体" w:eastAsia="黑体" w:cs="黑体"/>
          <w:kern w:val="2"/>
          <w:sz w:val="21"/>
          <w:szCs w:val="24"/>
          <w:lang w:val="en-US" w:eastAsia="zh-CN" w:bidi="ar"/>
        </w:rPr>
      </w:pPr>
      <w:r>
        <w:rPr>
          <w:rFonts w:hint="eastAsia" w:ascii="黑体" w:hAnsi="黑体" w:eastAsia="黑体" w:cs="黑体"/>
          <w:kern w:val="2"/>
          <w:sz w:val="21"/>
          <w:szCs w:val="24"/>
          <w:lang w:val="en-US" w:eastAsia="zh-CN" w:bidi="ar"/>
        </w:rPr>
        <w:t>图1  葡萄籽粒外观图</w:t>
      </w:r>
    </w:p>
    <w:p>
      <w:pPr>
        <w:pStyle w:val="148"/>
        <w:numPr>
          <w:ilvl w:val="2"/>
          <w:numId w:val="0"/>
        </w:numPr>
        <w:bidi w:val="0"/>
        <w:ind w:leftChars="0"/>
        <w:jc w:val="center"/>
        <w:rPr>
          <w:rFonts w:hint="default" w:ascii="Times New Roman" w:hAnsi="Times New Roman" w:eastAsia="宋体" w:cs="Times New Roman"/>
          <w:kern w:val="2"/>
          <w:sz w:val="21"/>
          <w:szCs w:val="24"/>
          <w:lang w:val="en-US" w:eastAsia="zh-CN" w:bidi="ar"/>
        </w:rPr>
      </w:pPr>
      <w:r>
        <w:rPr>
          <w:rFonts w:hint="default" w:ascii="Times New Roman" w:hAnsi="Times New Roman" w:eastAsia="宋体" w:cs="Times New Roman"/>
          <w:kern w:val="2"/>
          <w:sz w:val="21"/>
          <w:szCs w:val="24"/>
          <w:lang w:val="en-US" w:eastAsia="zh-CN" w:bidi="ar"/>
        </w:rPr>
        <w:drawing>
          <wp:inline distT="0" distB="0" distL="114300" distR="114300">
            <wp:extent cx="3524250" cy="2978150"/>
            <wp:effectExtent l="0" t="0" r="0" b="6350"/>
            <wp:docPr id="7" name="图片 2" descr="葡萄籽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葡萄籽组图"/>
                    <pic:cNvPicPr>
                      <a:picLocks noChangeAspect="1"/>
                    </pic:cNvPicPr>
                  </pic:nvPicPr>
                  <pic:blipFill>
                    <a:blip r:embed="rId15"/>
                    <a:stretch>
                      <a:fillRect/>
                    </a:stretch>
                  </pic:blipFill>
                  <pic:spPr>
                    <a:xfrm>
                      <a:off x="0" y="0"/>
                      <a:ext cx="3524250" cy="2978150"/>
                    </a:xfrm>
                    <a:prstGeom prst="rect">
                      <a:avLst/>
                    </a:prstGeom>
                    <a:noFill/>
                    <a:ln>
                      <a:noFill/>
                    </a:ln>
                  </pic:spPr>
                </pic:pic>
              </a:graphicData>
            </a:graphic>
          </wp:inline>
        </w:drawing>
      </w:r>
    </w:p>
    <w:p>
      <w:pPr>
        <w:pStyle w:val="148"/>
        <w:numPr>
          <w:ilvl w:val="2"/>
          <w:numId w:val="0"/>
        </w:numPr>
        <w:bidi w:val="0"/>
        <w:ind w:leftChars="0"/>
        <w:jc w:val="both"/>
        <w:rPr>
          <w:rFonts w:hint="eastAsia" w:ascii="Times New Roman" w:hAnsi="Times New Roman" w:eastAsia="宋体" w:cs="Times New Roman"/>
          <w:kern w:val="2"/>
          <w:sz w:val="21"/>
          <w:szCs w:val="24"/>
          <w:lang w:val="en-US" w:eastAsia="zh-CN" w:bidi="ar"/>
        </w:rPr>
      </w:pPr>
      <w:r>
        <w:rPr>
          <w:rFonts w:hint="eastAsia" w:ascii="Times New Roman" w:hAnsi="Times New Roman" w:eastAsia="宋体" w:cs="Times New Roman"/>
          <w:kern w:val="2"/>
          <w:sz w:val="21"/>
          <w:szCs w:val="24"/>
          <w:lang w:val="en-US" w:eastAsia="zh-CN" w:bidi="ar"/>
        </w:rPr>
        <w:t>标引序号说明：</w:t>
      </w:r>
    </w:p>
    <w:p>
      <w:pPr>
        <w:pStyle w:val="148"/>
        <w:numPr>
          <w:ilvl w:val="2"/>
          <w:numId w:val="0"/>
        </w:numPr>
        <w:bidi w:val="0"/>
        <w:ind w:leftChars="0"/>
        <w:jc w:val="both"/>
        <w:rPr>
          <w:rFonts w:hint="eastAsia" w:ascii="Times New Roman" w:hAnsi="Times New Roman" w:eastAsia="宋体" w:cs="Times New Roman"/>
          <w:kern w:val="2"/>
          <w:sz w:val="21"/>
          <w:szCs w:val="24"/>
          <w:lang w:val="en-US" w:eastAsia="zh-CN" w:bidi="ar"/>
        </w:rPr>
      </w:pPr>
      <w:r>
        <w:rPr>
          <w:rFonts w:hint="eastAsia" w:ascii="Times New Roman" w:hAnsi="Times New Roman" w:eastAsia="宋体" w:cs="Times New Roman"/>
          <w:kern w:val="2"/>
          <w:sz w:val="21"/>
          <w:szCs w:val="24"/>
          <w:lang w:val="en-US" w:eastAsia="zh-CN" w:bidi="ar"/>
        </w:rPr>
        <w:t>1——草酸钙针晶；</w:t>
      </w:r>
    </w:p>
    <w:p>
      <w:pPr>
        <w:pStyle w:val="148"/>
        <w:numPr>
          <w:ilvl w:val="2"/>
          <w:numId w:val="0"/>
        </w:numPr>
        <w:bidi w:val="0"/>
        <w:ind w:leftChars="0"/>
        <w:jc w:val="both"/>
        <w:rPr>
          <w:rFonts w:hint="eastAsia" w:ascii="Times New Roman" w:hAnsi="Times New Roman" w:eastAsia="宋体" w:cs="Times New Roman"/>
          <w:kern w:val="2"/>
          <w:sz w:val="21"/>
          <w:szCs w:val="24"/>
          <w:lang w:val="en-US" w:eastAsia="zh-CN" w:bidi="ar"/>
        </w:rPr>
      </w:pPr>
      <w:r>
        <w:rPr>
          <w:rFonts w:hint="eastAsia" w:ascii="Times New Roman" w:hAnsi="Times New Roman" w:eastAsia="宋体" w:cs="Times New Roman"/>
          <w:kern w:val="2"/>
          <w:sz w:val="21"/>
          <w:szCs w:val="24"/>
          <w:lang w:val="en-US" w:eastAsia="zh-CN" w:bidi="ar"/>
        </w:rPr>
        <w:t>2——油细胞；</w:t>
      </w:r>
    </w:p>
    <w:p>
      <w:pPr>
        <w:pStyle w:val="148"/>
        <w:numPr>
          <w:ilvl w:val="2"/>
          <w:numId w:val="0"/>
        </w:numPr>
        <w:bidi w:val="0"/>
        <w:ind w:leftChars="0"/>
        <w:jc w:val="both"/>
        <w:rPr>
          <w:rFonts w:hint="eastAsia" w:ascii="Times New Roman" w:hAnsi="Times New Roman" w:eastAsia="宋体" w:cs="Times New Roman"/>
          <w:kern w:val="2"/>
          <w:sz w:val="21"/>
          <w:szCs w:val="24"/>
          <w:lang w:val="en-US" w:eastAsia="zh-CN" w:bidi="ar"/>
        </w:rPr>
      </w:pPr>
      <w:r>
        <w:rPr>
          <w:rFonts w:hint="eastAsia" w:ascii="Times New Roman" w:hAnsi="Times New Roman" w:eastAsia="宋体" w:cs="Times New Roman"/>
          <w:kern w:val="2"/>
          <w:sz w:val="21"/>
          <w:szCs w:val="24"/>
          <w:lang w:val="en-US" w:eastAsia="zh-CN" w:bidi="ar"/>
        </w:rPr>
        <w:t>3——石细胞；</w:t>
      </w:r>
    </w:p>
    <w:p>
      <w:pPr>
        <w:pStyle w:val="148"/>
        <w:numPr>
          <w:ilvl w:val="2"/>
          <w:numId w:val="0"/>
        </w:numPr>
        <w:bidi w:val="0"/>
        <w:ind w:leftChars="0"/>
        <w:jc w:val="both"/>
        <w:rPr>
          <w:rFonts w:hint="eastAsia" w:ascii="Times New Roman" w:hAnsi="Times New Roman" w:eastAsia="宋体" w:cs="Times New Roman"/>
          <w:kern w:val="2"/>
          <w:sz w:val="21"/>
          <w:szCs w:val="24"/>
          <w:lang w:val="en-US" w:eastAsia="zh-CN" w:bidi="ar"/>
        </w:rPr>
      </w:pPr>
      <w:r>
        <w:rPr>
          <w:rFonts w:hint="eastAsia" w:ascii="Times New Roman" w:hAnsi="Times New Roman" w:eastAsia="宋体" w:cs="Times New Roman"/>
          <w:kern w:val="2"/>
          <w:sz w:val="21"/>
          <w:szCs w:val="24"/>
          <w:lang w:val="en-US" w:eastAsia="zh-CN" w:bidi="ar"/>
        </w:rPr>
        <w:t>4——种皮表皮细胞；</w:t>
      </w:r>
    </w:p>
    <w:p>
      <w:pPr>
        <w:pStyle w:val="148"/>
        <w:numPr>
          <w:ilvl w:val="2"/>
          <w:numId w:val="0"/>
        </w:numPr>
        <w:bidi w:val="0"/>
        <w:ind w:leftChars="0"/>
        <w:jc w:val="both"/>
        <w:rPr>
          <w:rFonts w:hint="eastAsia" w:ascii="Times New Roman" w:hAnsi="Times New Roman" w:eastAsia="宋体" w:cs="Times New Roman"/>
          <w:kern w:val="2"/>
          <w:sz w:val="21"/>
          <w:szCs w:val="24"/>
          <w:lang w:val="en-US" w:eastAsia="zh-CN" w:bidi="ar"/>
        </w:rPr>
      </w:pPr>
      <w:r>
        <w:rPr>
          <w:rFonts w:hint="eastAsia" w:ascii="Times New Roman" w:hAnsi="Times New Roman" w:eastAsia="宋体" w:cs="Times New Roman"/>
          <w:kern w:val="2"/>
          <w:sz w:val="21"/>
          <w:szCs w:val="24"/>
          <w:lang w:val="en-US" w:eastAsia="zh-CN" w:bidi="ar"/>
        </w:rPr>
        <w:t>5——胚乳细胞。</w:t>
      </w:r>
    </w:p>
    <w:p>
      <w:pPr>
        <w:pStyle w:val="148"/>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leftChars="0"/>
        <w:jc w:val="center"/>
        <w:textAlignment w:val="auto"/>
        <w:rPr>
          <w:rFonts w:hint="eastAsia" w:ascii="黑体" w:hAnsi="黑体" w:eastAsia="黑体" w:cs="黑体"/>
          <w:kern w:val="2"/>
          <w:sz w:val="21"/>
          <w:szCs w:val="24"/>
          <w:lang w:val="en-US" w:eastAsia="zh-CN" w:bidi="ar"/>
        </w:rPr>
      </w:pPr>
      <w:r>
        <w:rPr>
          <w:rFonts w:hint="eastAsia" w:ascii="黑体" w:hAnsi="黑体" w:eastAsia="黑体" w:cs="黑体"/>
          <w:kern w:val="2"/>
          <w:sz w:val="21"/>
          <w:szCs w:val="24"/>
          <w:lang w:val="en-US" w:eastAsia="zh-CN" w:bidi="ar"/>
        </w:rPr>
        <w:t>图2 显微镜下观察内部结构</w:t>
      </w:r>
    </w:p>
    <w:p>
      <w:pPr>
        <w:pStyle w:val="44"/>
        <w:spacing w:before="156" w:after="156"/>
        <w:rPr>
          <w:rFonts w:hint="eastAsia"/>
          <w:lang w:val="en-US" w:eastAsia="zh-CN"/>
        </w:rPr>
      </w:pPr>
      <w:bookmarkStart w:id="13" w:name="_Toc31697"/>
      <w:r>
        <w:rPr>
          <w:rFonts w:hint="eastAsia"/>
          <w:lang w:val="en-US" w:eastAsia="zh-CN"/>
        </w:rPr>
        <w:t>理化指标</w:t>
      </w:r>
      <w:bookmarkEnd w:id="13"/>
    </w:p>
    <w:p>
      <w:pPr>
        <w:pStyle w:val="48"/>
        <w:bidi w:val="0"/>
        <w:rPr>
          <w:rFonts w:hint="eastAsia"/>
        </w:rPr>
      </w:pPr>
      <w:r>
        <w:rPr>
          <w:rFonts w:hint="eastAsia"/>
        </w:rPr>
        <w:t>水分</w:t>
      </w:r>
    </w:p>
    <w:p>
      <w:pPr>
        <w:pStyle w:val="26"/>
        <w:rPr>
          <w:rFonts w:hint="eastAsia"/>
        </w:rPr>
      </w:pPr>
      <w:r>
        <w:rPr>
          <w:rFonts w:hint="eastAsia"/>
        </w:rPr>
        <w:t>不超过13.0%。</w:t>
      </w:r>
    </w:p>
    <w:p>
      <w:pPr>
        <w:pStyle w:val="48"/>
        <w:bidi w:val="0"/>
        <w:rPr>
          <w:rFonts w:hint="eastAsia"/>
        </w:rPr>
      </w:pPr>
      <w:r>
        <w:rPr>
          <w:rFonts w:hint="eastAsia"/>
        </w:rPr>
        <w:t>总灰分</w:t>
      </w:r>
    </w:p>
    <w:p>
      <w:pPr>
        <w:pStyle w:val="26"/>
        <w:rPr>
          <w:rFonts w:hint="eastAsia"/>
        </w:rPr>
      </w:pPr>
      <w:r>
        <w:rPr>
          <w:rFonts w:hint="eastAsia"/>
        </w:rPr>
        <w:t xml:space="preserve">不超过5.0%。 </w:t>
      </w:r>
    </w:p>
    <w:p>
      <w:pPr>
        <w:pStyle w:val="48"/>
        <w:bidi w:val="0"/>
        <w:rPr>
          <w:rFonts w:hint="eastAsia"/>
        </w:rPr>
      </w:pPr>
      <w:r>
        <w:rPr>
          <w:rFonts w:hint="eastAsia"/>
        </w:rPr>
        <w:t xml:space="preserve">浸出物 </w:t>
      </w:r>
    </w:p>
    <w:p>
      <w:pPr>
        <w:pStyle w:val="26"/>
        <w:rPr>
          <w:rFonts w:hint="eastAsia"/>
        </w:rPr>
      </w:pPr>
      <w:r>
        <w:rPr>
          <w:rFonts w:hint="eastAsia"/>
        </w:rPr>
        <w:t xml:space="preserve">用乙醇作溶剂，浸出物不少于10.0%。 </w:t>
      </w:r>
    </w:p>
    <w:p>
      <w:pPr>
        <w:pStyle w:val="44"/>
        <w:bidi w:val="0"/>
        <w:ind w:left="0" w:leftChars="0" w:firstLine="0" w:firstLineChars="0"/>
        <w:rPr>
          <w:rFonts w:hint="eastAsia"/>
          <w:lang w:val="en-US" w:eastAsia="zh-CN"/>
        </w:rPr>
      </w:pPr>
      <w:bookmarkStart w:id="14" w:name="_Toc11198"/>
      <w:r>
        <w:rPr>
          <w:rFonts w:hint="eastAsia"/>
          <w:lang w:val="en-US" w:eastAsia="zh-CN"/>
        </w:rPr>
        <w:t>安全指标</w:t>
      </w:r>
      <w:bookmarkEnd w:id="14"/>
    </w:p>
    <w:p>
      <w:pPr>
        <w:pStyle w:val="48"/>
        <w:bidi w:val="0"/>
        <w:rPr>
          <w:rFonts w:hint="eastAsia"/>
          <w:lang w:val="en-US" w:eastAsia="zh-CN"/>
        </w:rPr>
      </w:pPr>
      <w:r>
        <w:rPr>
          <w:rFonts w:hint="eastAsia"/>
          <w:lang w:val="en-US" w:eastAsia="zh-CN"/>
        </w:rPr>
        <w:t>污染物限量</w:t>
      </w:r>
    </w:p>
    <w:p>
      <w:pPr>
        <w:pStyle w:val="26"/>
        <w:rPr>
          <w:rFonts w:hint="default"/>
          <w:lang w:val="en-US" w:eastAsia="zh-CN"/>
        </w:rPr>
      </w:pPr>
      <w:r>
        <w:rPr>
          <w:rFonts w:hint="default"/>
          <w:lang w:val="en-US" w:eastAsia="zh-CN"/>
        </w:rPr>
        <w:t>应符合《</w:t>
      </w:r>
      <w:r>
        <w:rPr>
          <w:rFonts w:hint="eastAsia"/>
        </w:rPr>
        <w:t>食品安全国家标准 食品中污染物限量</w:t>
      </w:r>
      <w:r>
        <w:rPr>
          <w:rFonts w:hint="default"/>
          <w:lang w:val="en-US" w:eastAsia="zh-CN"/>
        </w:rPr>
        <w:t>》</w:t>
      </w:r>
      <w:r>
        <w:rPr>
          <w:rFonts w:hint="default"/>
        </w:rPr>
        <w:t>GB2762—20</w:t>
      </w:r>
      <w:r>
        <w:rPr>
          <w:rFonts w:hint="eastAsia"/>
          <w:lang w:val="en-US" w:eastAsia="zh-CN"/>
        </w:rPr>
        <w:t>22</w:t>
      </w:r>
      <w:r>
        <w:rPr>
          <w:rFonts w:hint="default"/>
          <w:lang w:eastAsia="zh-CN"/>
        </w:rPr>
        <w:t>。</w:t>
      </w:r>
    </w:p>
    <w:p>
      <w:pPr>
        <w:pStyle w:val="48"/>
        <w:bidi w:val="0"/>
        <w:rPr>
          <w:rFonts w:hint="default"/>
          <w:lang w:val="en-US" w:eastAsia="zh-CN"/>
        </w:rPr>
      </w:pPr>
      <w:r>
        <w:rPr>
          <w:rFonts w:hint="eastAsia"/>
          <w:lang w:val="en-US" w:eastAsia="zh-CN"/>
        </w:rPr>
        <w:t>最大农残限量</w:t>
      </w:r>
    </w:p>
    <w:p>
      <w:pPr>
        <w:pStyle w:val="26"/>
        <w:rPr>
          <w:rFonts w:hint="default"/>
          <w:lang w:val="en-US" w:eastAsia="zh-CN"/>
        </w:rPr>
      </w:pPr>
      <w:r>
        <w:rPr>
          <w:rFonts w:hint="default"/>
          <w:lang w:val="en-US" w:eastAsia="zh-CN"/>
        </w:rPr>
        <w:t>应符合《</w:t>
      </w:r>
      <w:r>
        <w:rPr>
          <w:rFonts w:hint="eastAsia"/>
        </w:rPr>
        <w:t>食品安全国家标准 食品中</w:t>
      </w:r>
      <w:r>
        <w:rPr>
          <w:rFonts w:hint="eastAsia"/>
          <w:lang w:val="en-US" w:eastAsia="zh-CN"/>
        </w:rPr>
        <w:t>农药最大残留</w:t>
      </w:r>
      <w:r>
        <w:rPr>
          <w:rFonts w:hint="eastAsia"/>
        </w:rPr>
        <w:t>限量</w:t>
      </w:r>
      <w:r>
        <w:rPr>
          <w:rFonts w:hint="default"/>
          <w:lang w:val="en-US" w:eastAsia="zh-CN"/>
        </w:rPr>
        <w:t>》</w:t>
      </w:r>
      <w:r>
        <w:rPr>
          <w:rFonts w:hint="default"/>
        </w:rPr>
        <w:t>GB276</w:t>
      </w:r>
      <w:r>
        <w:rPr>
          <w:rFonts w:hint="eastAsia"/>
          <w:lang w:val="en-US" w:eastAsia="zh-CN"/>
        </w:rPr>
        <w:t>3</w:t>
      </w:r>
      <w:r>
        <w:rPr>
          <w:rFonts w:hint="default"/>
        </w:rPr>
        <w:t>—20</w:t>
      </w:r>
      <w:r>
        <w:rPr>
          <w:rFonts w:hint="eastAsia"/>
          <w:lang w:val="en-US" w:eastAsia="zh-CN"/>
        </w:rPr>
        <w:t>21</w:t>
      </w:r>
      <w:r>
        <w:rPr>
          <w:rFonts w:hint="default"/>
          <w:lang w:eastAsia="zh-CN"/>
        </w:rPr>
        <w:t>。</w:t>
      </w:r>
    </w:p>
    <w:p>
      <w:pPr>
        <w:pStyle w:val="47"/>
      </w:pPr>
      <w:bookmarkStart w:id="15" w:name="_Toc20889"/>
      <w:r>
        <w:rPr>
          <w:rFonts w:hint="eastAsia"/>
          <w:lang w:val="en-US" w:eastAsia="zh-CN"/>
        </w:rPr>
        <w:t>试验方法</w:t>
      </w:r>
      <w:bookmarkEnd w:id="15"/>
    </w:p>
    <w:p>
      <w:pPr>
        <w:pStyle w:val="44"/>
        <w:bidi w:val="0"/>
        <w:rPr>
          <w:rFonts w:hint="eastAsia"/>
        </w:rPr>
      </w:pPr>
      <w:bookmarkStart w:id="16" w:name="_Toc23513"/>
      <w:r>
        <w:rPr>
          <w:rFonts w:hint="eastAsia"/>
        </w:rPr>
        <w:t>性状</w:t>
      </w:r>
      <w:bookmarkEnd w:id="16"/>
    </w:p>
    <w:p>
      <w:pPr>
        <w:pStyle w:val="48"/>
        <w:bidi w:val="0"/>
        <w:rPr>
          <w:rFonts w:hint="eastAsia"/>
        </w:rPr>
      </w:pPr>
      <w:r>
        <w:rPr>
          <w:rFonts w:hint="eastAsia"/>
          <w:lang w:val="en-US" w:eastAsia="zh-CN"/>
        </w:rPr>
        <w:t>目测法</w:t>
      </w:r>
      <w:r>
        <w:rPr>
          <w:rFonts w:hint="eastAsia"/>
        </w:rPr>
        <w:t xml:space="preserve"> </w:t>
      </w:r>
    </w:p>
    <w:p>
      <w:pPr>
        <w:pStyle w:val="26"/>
        <w:rPr>
          <w:rFonts w:hint="eastAsia"/>
        </w:rPr>
      </w:pPr>
      <w:r>
        <w:rPr>
          <w:rFonts w:hint="eastAsia"/>
        </w:rPr>
        <w:t xml:space="preserve">取供试品适量置于光滑白纸上，平铺，在明亮处观察。根据样品实际的形态、色泽、气、味等进行描述。 </w:t>
      </w:r>
    </w:p>
    <w:p>
      <w:pPr>
        <w:pStyle w:val="48"/>
        <w:bidi w:val="0"/>
        <w:rPr>
          <w:rFonts w:hint="eastAsia"/>
          <w:lang w:val="en-US" w:eastAsia="zh-CN"/>
        </w:rPr>
      </w:pPr>
      <w:r>
        <w:rPr>
          <w:rFonts w:hint="eastAsia"/>
          <w:lang w:val="en-US" w:eastAsia="zh-CN"/>
        </w:rPr>
        <w:t>显微镜观察法</w:t>
      </w:r>
    </w:p>
    <w:p>
      <w:pPr>
        <w:pStyle w:val="26"/>
        <w:rPr>
          <w:rFonts w:hint="default"/>
          <w:lang w:val="en-US"/>
        </w:rPr>
      </w:pPr>
      <w:r>
        <w:rPr>
          <w:rFonts w:hint="eastAsia"/>
        </w:rPr>
        <w:t>按</w:t>
      </w:r>
      <w:r>
        <w:rPr>
          <w:rFonts w:hint="eastAsia"/>
          <w:lang w:val="en-US" w:eastAsia="zh-CN"/>
        </w:rPr>
        <w:t>照</w:t>
      </w:r>
      <w:r>
        <w:rPr>
          <w:rFonts w:hint="eastAsia"/>
        </w:rPr>
        <w:t>《中国药典2020版》四部 通则2001</w:t>
      </w:r>
      <w:r>
        <w:rPr>
          <w:rFonts w:hint="eastAsia"/>
          <w:lang w:val="en-US" w:eastAsia="zh-CN"/>
        </w:rPr>
        <w:t>规定的</w:t>
      </w:r>
      <w:r>
        <w:rPr>
          <w:rFonts w:hint="eastAsia"/>
        </w:rPr>
        <w:t>显微鉴别法</w:t>
      </w:r>
      <w:r>
        <w:rPr>
          <w:rFonts w:hint="eastAsia"/>
          <w:lang w:val="en-US" w:eastAsia="zh-CN"/>
        </w:rPr>
        <w:t>进行。</w:t>
      </w:r>
    </w:p>
    <w:p>
      <w:pPr>
        <w:pStyle w:val="48"/>
        <w:bidi w:val="0"/>
        <w:rPr>
          <w:rFonts w:hint="eastAsia"/>
          <w:lang w:val="en-US" w:eastAsia="zh-CN"/>
        </w:rPr>
      </w:pPr>
      <w:r>
        <w:rPr>
          <w:rFonts w:hint="eastAsia"/>
          <w:lang w:val="en-US" w:eastAsia="zh-CN"/>
        </w:rPr>
        <w:t>薄层色谱</w:t>
      </w:r>
    </w:p>
    <w:p>
      <w:pPr>
        <w:pStyle w:val="26"/>
        <w:rPr>
          <w:rFonts w:hint="eastAsia"/>
        </w:rPr>
      </w:pPr>
      <w:r>
        <w:rPr>
          <w:rFonts w:hint="eastAsia"/>
        </w:rPr>
        <w:t>按照《中国药典2020版》四部 通则0502</w:t>
      </w:r>
      <w:r>
        <w:rPr>
          <w:rFonts w:hint="eastAsia"/>
          <w:lang w:val="en-US" w:eastAsia="zh-CN"/>
        </w:rPr>
        <w:t>规定的</w:t>
      </w:r>
      <w:r>
        <w:rPr>
          <w:rFonts w:hint="eastAsia"/>
        </w:rPr>
        <w:t>薄层色谱法</w:t>
      </w:r>
      <w:r>
        <w:rPr>
          <w:rFonts w:hint="eastAsia"/>
          <w:lang w:val="en-US" w:eastAsia="zh-CN"/>
        </w:rPr>
        <w:t>进行，色谱图样式见附录A</w:t>
      </w:r>
      <w:r>
        <w:rPr>
          <w:rFonts w:hint="eastAsia"/>
        </w:rPr>
        <w:t>。</w:t>
      </w:r>
    </w:p>
    <w:p>
      <w:pPr>
        <w:pStyle w:val="44"/>
        <w:bidi w:val="0"/>
        <w:rPr>
          <w:rFonts w:hint="default"/>
          <w:lang w:val="en-US" w:eastAsia="zh-CN"/>
        </w:rPr>
      </w:pPr>
      <w:bookmarkStart w:id="17" w:name="_Toc13202"/>
      <w:r>
        <w:rPr>
          <w:rFonts w:hint="eastAsia"/>
          <w:lang w:val="en-US" w:eastAsia="zh-CN"/>
        </w:rPr>
        <w:t>理化指标</w:t>
      </w:r>
      <w:bookmarkEnd w:id="17"/>
    </w:p>
    <w:p>
      <w:pPr>
        <w:pStyle w:val="48"/>
        <w:bidi w:val="0"/>
        <w:rPr>
          <w:rFonts w:hint="eastAsia"/>
          <w:lang w:val="en-US" w:eastAsia="zh-CN"/>
        </w:rPr>
      </w:pPr>
      <w:r>
        <w:rPr>
          <w:rFonts w:hint="eastAsia"/>
          <w:lang w:val="en-US" w:eastAsia="zh-CN"/>
        </w:rPr>
        <w:t xml:space="preserve">水分 </w:t>
      </w:r>
    </w:p>
    <w:p>
      <w:pPr>
        <w:pStyle w:val="26"/>
        <w:rPr>
          <w:rFonts w:hint="eastAsia"/>
        </w:rPr>
      </w:pPr>
      <w:r>
        <w:rPr>
          <w:rFonts w:hint="eastAsia"/>
        </w:rPr>
        <w:t xml:space="preserve">按照《中国药典》2020年版四部 通则0832第二法测定。 </w:t>
      </w:r>
    </w:p>
    <w:p>
      <w:pPr>
        <w:pStyle w:val="48"/>
        <w:bidi w:val="0"/>
        <w:rPr>
          <w:rFonts w:hint="eastAsia"/>
          <w:lang w:val="en-US" w:eastAsia="zh-CN"/>
        </w:rPr>
      </w:pPr>
      <w:r>
        <w:rPr>
          <w:rFonts w:hint="eastAsia"/>
          <w:lang w:val="en-US" w:eastAsia="zh-CN"/>
        </w:rPr>
        <w:t xml:space="preserve">总灰分 </w:t>
      </w:r>
    </w:p>
    <w:p>
      <w:pPr>
        <w:pStyle w:val="26"/>
        <w:rPr>
          <w:rFonts w:hint="eastAsia"/>
        </w:rPr>
      </w:pPr>
      <w:r>
        <w:rPr>
          <w:rFonts w:hint="eastAsia"/>
        </w:rPr>
        <w:t xml:space="preserve">按照《中国药典》2020年版四部 通则2302测定。 </w:t>
      </w:r>
    </w:p>
    <w:p>
      <w:pPr>
        <w:pStyle w:val="48"/>
        <w:bidi w:val="0"/>
        <w:rPr>
          <w:rFonts w:hint="eastAsia"/>
          <w:lang w:val="en-US" w:eastAsia="zh-CN"/>
        </w:rPr>
      </w:pPr>
      <w:r>
        <w:rPr>
          <w:rFonts w:hint="eastAsia"/>
          <w:lang w:val="en-US" w:eastAsia="zh-CN"/>
        </w:rPr>
        <w:t xml:space="preserve">浸出物 </w:t>
      </w:r>
    </w:p>
    <w:p>
      <w:pPr>
        <w:pStyle w:val="26"/>
        <w:rPr>
          <w:rFonts w:hint="eastAsia"/>
        </w:rPr>
      </w:pPr>
      <w:r>
        <w:rPr>
          <w:rFonts w:hint="eastAsia"/>
        </w:rPr>
        <w:t>用乙醇作溶剂，按照《中国药典》2020年版四部 通则2201</w:t>
      </w:r>
      <w:r>
        <w:rPr>
          <w:rFonts w:hint="eastAsia"/>
          <w:lang w:val="en-US" w:eastAsia="zh-CN"/>
        </w:rPr>
        <w:t>中</w:t>
      </w:r>
      <w:r>
        <w:rPr>
          <w:rFonts w:hint="eastAsia"/>
        </w:rPr>
        <w:t xml:space="preserve">醇溶性浸出物测定法项下的热浸法测定。 </w:t>
      </w:r>
    </w:p>
    <w:p>
      <w:pPr>
        <w:pStyle w:val="44"/>
        <w:bidi w:val="0"/>
        <w:rPr>
          <w:rFonts w:hint="default"/>
          <w:lang w:val="en-US" w:eastAsia="zh-CN"/>
        </w:rPr>
      </w:pPr>
      <w:bookmarkStart w:id="18" w:name="_Toc19241"/>
      <w:r>
        <w:rPr>
          <w:rFonts w:hint="eastAsia"/>
          <w:lang w:val="en-US" w:eastAsia="zh-CN"/>
        </w:rPr>
        <w:t>安全指标</w:t>
      </w:r>
      <w:bookmarkEnd w:id="18"/>
      <w:bookmarkStart w:id="20" w:name="_GoBack"/>
      <w:bookmarkEnd w:id="20"/>
    </w:p>
    <w:p>
      <w:pPr>
        <w:pStyle w:val="48"/>
        <w:bidi w:val="0"/>
        <w:rPr>
          <w:rFonts w:hint="eastAsia"/>
          <w:lang w:val="en-US" w:eastAsia="zh-CN"/>
        </w:rPr>
      </w:pPr>
      <w:r>
        <w:rPr>
          <w:rFonts w:hint="eastAsia"/>
          <w:lang w:val="en-US" w:eastAsia="zh-CN"/>
        </w:rPr>
        <w:t>污染物限量</w:t>
      </w:r>
    </w:p>
    <w:p>
      <w:pPr>
        <w:pStyle w:val="26"/>
        <w:rPr>
          <w:rFonts w:hint="default"/>
          <w:lang w:val="en-US" w:eastAsia="zh-CN"/>
        </w:rPr>
      </w:pPr>
      <w:r>
        <w:rPr>
          <w:rFonts w:hint="default"/>
          <w:lang w:val="en-US" w:eastAsia="zh-CN"/>
        </w:rPr>
        <w:t>应符合</w:t>
      </w:r>
      <w:r>
        <w:rPr>
          <w:rFonts w:hint="eastAsia"/>
        </w:rPr>
        <w:t>《中国药典》2020年版四部</w:t>
      </w:r>
      <w:r>
        <w:rPr>
          <w:rFonts w:hint="default"/>
          <w:lang w:eastAsia="zh-CN"/>
        </w:rPr>
        <w:t>。</w:t>
      </w:r>
    </w:p>
    <w:p>
      <w:pPr>
        <w:pStyle w:val="48"/>
        <w:bidi w:val="0"/>
        <w:rPr>
          <w:rFonts w:hint="default"/>
          <w:lang w:val="en-US" w:eastAsia="zh-CN"/>
        </w:rPr>
      </w:pPr>
      <w:r>
        <w:rPr>
          <w:rFonts w:hint="eastAsia"/>
          <w:lang w:val="en-US" w:eastAsia="zh-CN"/>
        </w:rPr>
        <w:t>最大农残限量</w:t>
      </w:r>
    </w:p>
    <w:p>
      <w:pPr>
        <w:pStyle w:val="26"/>
        <w:rPr>
          <w:rFonts w:hint="default"/>
          <w:lang w:val="en-US" w:eastAsia="zh-CN"/>
        </w:rPr>
      </w:pPr>
      <w:r>
        <w:rPr>
          <w:rFonts w:hint="default"/>
          <w:lang w:val="en-US" w:eastAsia="zh-CN"/>
        </w:rPr>
        <w:t>应符合</w:t>
      </w:r>
      <w:r>
        <w:rPr>
          <w:rFonts w:hint="eastAsia"/>
        </w:rPr>
        <w:t>《中国药典》2020年版四部</w:t>
      </w:r>
      <w:r>
        <w:rPr>
          <w:rFonts w:hint="default"/>
          <w:lang w:eastAsia="zh-CN"/>
        </w:rPr>
        <w:t>。</w:t>
      </w:r>
    </w:p>
    <w:p>
      <w:pPr>
        <w:pStyle w:val="26"/>
        <w:rPr>
          <w:rFonts w:hint="eastAsia"/>
          <w:lang w:val="en-US" w:eastAsia="zh-CN"/>
        </w:rPr>
      </w:pPr>
    </w:p>
    <w:p>
      <w:pPr>
        <w:pStyle w:val="100"/>
        <w:jc w:val="both"/>
      </w:pPr>
    </w:p>
    <w:p>
      <w:pPr>
        <w:pStyle w:val="88"/>
        <w:tabs>
          <w:tab w:val="clear" w:pos="0"/>
        </w:tabs>
      </w:pPr>
    </w:p>
    <w:p>
      <w:pPr>
        <w:pStyle w:val="86"/>
        <w:numPr>
          <w:ilvl w:val="0"/>
          <w:numId w:val="20"/>
        </w:numPr>
        <w:rPr>
          <w:rFonts w:hint="default" w:ascii="Times New Roman" w:hAnsi="Times New Roman" w:eastAsia="黑体" w:cs="Times New Roman"/>
          <w:color w:val="000000"/>
          <w:kern w:val="0"/>
          <w:sz w:val="24"/>
          <w:szCs w:val="24"/>
          <w:lang w:val="en-US" w:eastAsia="zh-CN" w:bidi="ar"/>
        </w:rPr>
      </w:pPr>
      <w:bookmarkStart w:id="19" w:name="_Toc24980"/>
      <w:r>
        <w:br w:type="textWrapping"/>
      </w:r>
      <w:r>
        <w:rPr>
          <w:rFonts w:hint="eastAsia"/>
        </w:rPr>
        <w:t>（</w:t>
      </w:r>
      <w:r>
        <w:rPr>
          <w:rFonts w:hint="eastAsia"/>
          <w:lang w:val="en-US" w:eastAsia="zh-CN"/>
        </w:rPr>
        <w:t>资料性</w:t>
      </w:r>
      <w:r>
        <w:rPr>
          <w:rFonts w:hint="eastAsia"/>
        </w:rPr>
        <w:t>）</w:t>
      </w:r>
      <w:r>
        <w:br w:type="textWrapping"/>
      </w:r>
      <w:r>
        <w:rPr>
          <w:rFonts w:hint="eastAsia"/>
          <w:sz w:val="21"/>
          <w:szCs w:val="21"/>
          <w:lang w:val="en-US" w:eastAsia="zh-CN"/>
        </w:rPr>
        <w:t>葡萄籽</w:t>
      </w:r>
      <w:r>
        <w:rPr>
          <w:rFonts w:hint="default" w:ascii="Times New Roman" w:hAnsi="Times New Roman" w:eastAsia="黑体" w:cs="Times New Roman"/>
          <w:color w:val="000000"/>
          <w:kern w:val="0"/>
          <w:sz w:val="21"/>
          <w:szCs w:val="21"/>
          <w:lang w:val="en-US" w:eastAsia="zh-CN" w:bidi="ar"/>
        </w:rPr>
        <w:t>鉴别</w:t>
      </w:r>
      <w:r>
        <w:rPr>
          <w:rFonts w:hint="eastAsia" w:ascii="Times New Roman" w:hAnsi="Times New Roman" w:cs="Times New Roman"/>
          <w:color w:val="000000"/>
          <w:kern w:val="0"/>
          <w:sz w:val="21"/>
          <w:szCs w:val="21"/>
          <w:lang w:val="en-US" w:eastAsia="zh-CN" w:bidi="ar"/>
        </w:rPr>
        <w:t>图谱</w:t>
      </w:r>
      <w:bookmarkEnd w:id="19"/>
    </w:p>
    <w:p>
      <w:pPr>
        <w:pStyle w:val="148"/>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leftChars="0"/>
        <w:jc w:val="center"/>
        <w:textAlignment w:val="auto"/>
        <w:rPr>
          <w:rFonts w:hint="default" w:ascii="黑体" w:hAnsi="黑体" w:eastAsia="黑体" w:cs="黑体"/>
          <w:kern w:val="2"/>
          <w:sz w:val="21"/>
          <w:szCs w:val="24"/>
          <w:lang w:val="en-US" w:eastAsia="zh-CN" w:bidi="ar"/>
        </w:rPr>
      </w:pPr>
      <w:r>
        <w:rPr>
          <w:rFonts w:hint="default" w:ascii="黑体" w:hAnsi="黑体" w:eastAsia="黑体" w:cs="黑体"/>
          <w:kern w:val="2"/>
          <w:sz w:val="21"/>
          <w:szCs w:val="24"/>
          <w:lang w:val="en-US" w:eastAsia="zh-CN" w:bidi="ar"/>
        </w:rPr>
        <w:drawing>
          <wp:anchor distT="0" distB="0" distL="114300" distR="114300" simplePos="0" relativeHeight="251666432" behindDoc="0" locked="0" layoutInCell="1" allowOverlap="1">
            <wp:simplePos x="0" y="0"/>
            <wp:positionH relativeFrom="column">
              <wp:posOffset>736600</wp:posOffset>
            </wp:positionH>
            <wp:positionV relativeFrom="paragraph">
              <wp:posOffset>64135</wp:posOffset>
            </wp:positionV>
            <wp:extent cx="4319905" cy="2244090"/>
            <wp:effectExtent l="0" t="0" r="4445" b="381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4319905" cy="2244090"/>
                    </a:xfrm>
                    <a:prstGeom prst="rect">
                      <a:avLst/>
                    </a:prstGeom>
                    <a:noFill/>
                    <a:ln>
                      <a:noFill/>
                    </a:ln>
                  </pic:spPr>
                </pic:pic>
              </a:graphicData>
            </a:graphic>
          </wp:anchor>
        </w:drawing>
      </w:r>
      <w:r>
        <w:rPr>
          <w:rFonts w:hint="default" w:ascii="黑体" w:hAnsi="黑体" w:eastAsia="黑体" w:cs="黑体"/>
          <w:kern w:val="2"/>
          <w:sz w:val="21"/>
          <w:szCs w:val="24"/>
          <w:lang w:val="en-US" w:eastAsia="zh-CN" w:bidi="ar"/>
        </w:rPr>
        <w:t>8.葡萄籽对照药材；1-7.葡萄籽样品（批号PTZ01-07）、9-16葡萄籽样品（批号PTZ08-15）</w:t>
      </w:r>
    </w:p>
    <w:p>
      <w:pPr>
        <w:pStyle w:val="148"/>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leftChars="0"/>
        <w:jc w:val="center"/>
        <w:textAlignment w:val="auto"/>
        <w:rPr>
          <w:rFonts w:hint="default" w:ascii="黑体" w:hAnsi="黑体" w:eastAsia="黑体" w:cs="黑体"/>
          <w:kern w:val="2"/>
          <w:sz w:val="21"/>
          <w:szCs w:val="24"/>
          <w:lang w:val="en-US" w:eastAsia="zh-CN" w:bidi="ar"/>
        </w:rPr>
      </w:pPr>
      <w:r>
        <w:rPr>
          <w:rFonts w:hint="default" w:ascii="黑体" w:hAnsi="黑体" w:eastAsia="黑体" w:cs="黑体"/>
          <w:kern w:val="2"/>
          <w:sz w:val="21"/>
          <w:szCs w:val="24"/>
          <w:lang w:val="en-US" w:eastAsia="zh-CN" w:bidi="ar"/>
        </w:rPr>
        <w:t>图3 葡萄籽薄层鉴别图谱</w:t>
      </w:r>
    </w:p>
    <w:p>
      <w:pPr>
        <w:pStyle w:val="26"/>
      </w:pPr>
    </w:p>
    <w:p>
      <w:pPr>
        <w:pStyle w:val="132"/>
        <w:framePr w:wrap="around" w:vAnchor="text" w:hAnchor="page" w:x="1131" w:y="8009"/>
      </w:pPr>
      <w:r>
        <mc:AlternateContent>
          <mc:Choice Requires="wps">
            <w:drawing>
              <wp:anchor distT="0" distB="0" distL="114300" distR="114300" simplePos="0" relativeHeight="251665408" behindDoc="0" locked="0" layoutInCell="1" allowOverlap="1">
                <wp:simplePos x="0" y="0"/>
                <wp:positionH relativeFrom="column">
                  <wp:posOffset>1757045</wp:posOffset>
                </wp:positionH>
                <wp:positionV relativeFrom="paragraph">
                  <wp:posOffset>317500</wp:posOffset>
                </wp:positionV>
                <wp:extent cx="2419350" cy="0"/>
                <wp:effectExtent l="0" t="4445" r="0" b="5080"/>
                <wp:wrapNone/>
                <wp:docPr id="20" name="直接连接符 20"/>
                <wp:cNvGraphicFramePr/>
                <a:graphic xmlns:a="http://schemas.openxmlformats.org/drawingml/2006/main">
                  <a:graphicData uri="http://schemas.microsoft.com/office/word/2010/wordprocessingShape">
                    <wps:wsp>
                      <wps:cNvCnPr/>
                      <wps:spPr>
                        <a:xfrm>
                          <a:off x="0" y="0"/>
                          <a:ext cx="2419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8.35pt;margin-top:25pt;height:0pt;width:190.5pt;z-index:251665408;mso-width-relative:page;mso-height-relative:page;" filled="f" stroked="t" coordsize="21600,21600" o:gfxdata="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crnJx1QAAAAkBAAAP&#10;AAAAAAAAAAEAIAAAACIAAABkcnMvZG93bnJldi54bWxQSwECFAAUAAAACACHTuJACVg6qOIBAACz&#10;AwAADgAAAAAAAAABACAAAAAkAQAAZHJzL2Uyb0RvYy54bWxQSwUGAAAAAAYABgBZAQAAeAUAAAAA&#10;">
                <v:fill on="f" focussize="0,0"/>
                <v:stroke weight="0.5pt" color="#000000 [3213]" miterlimit="8" joinstyle="miter"/>
                <v:imagedata o:title=""/>
                <o:lock v:ext="edit" aspectratio="f"/>
              </v:line>
            </w:pict>
          </mc:Fallback>
        </mc:AlternateContent>
      </w:r>
    </w:p>
    <w:p>
      <w:pPr>
        <w:pStyle w:val="132"/>
        <w:framePr w:wrap="around" w:vAnchor="text" w:hAnchor="page" w:x="1131" w:y="8009"/>
      </w:pPr>
    </w:p>
    <w:p>
      <w:pPr>
        <w:pStyle w:val="26"/>
        <w:framePr w:hSpace="181" w:vSpace="181" w:wrap="around" w:vAnchor="text" w:hAnchor="page" w:x="1131" w:y="8009"/>
      </w:pPr>
    </w:p>
    <w:p>
      <w:pPr>
        <w:pStyle w:val="150"/>
        <w:framePr w:hSpace="181" w:vSpace="181" w:wrap="around" w:vAnchor="text" w:hAnchor="page" w:x="1131" w:y="8009"/>
        <w:numPr>
          <w:ilvl w:val="1"/>
          <w:numId w:val="0"/>
        </w:numPr>
      </w:pPr>
    </w:p>
    <w:p>
      <w:pPr>
        <w:pStyle w:val="26"/>
        <w:framePr w:hSpace="181" w:vSpace="181" w:wrap="around" w:vAnchor="text" w:hAnchor="page" w:x="1131" w:y="8009"/>
      </w:pPr>
    </w:p>
    <w:p>
      <w:pPr>
        <w:pStyle w:val="26"/>
        <w:keepNext w:val="0"/>
        <w:keepLines w:val="0"/>
        <w:pageBreakBefore w:val="0"/>
        <w:framePr w:hSpace="181" w:vSpace="181" w:wrap="around" w:vAnchor="text" w:hAnchor="page" w:x="1131" w:y="8009"/>
        <w:widowControl/>
        <w:kinsoku/>
        <w:wordWrap/>
        <w:overflowPunct/>
        <w:topLinePunct w:val="0"/>
        <w:autoSpaceDE w:val="0"/>
        <w:autoSpaceDN w:val="0"/>
        <w:bidi w:val="0"/>
        <w:adjustRightInd/>
        <w:snapToGrid/>
        <w:textAlignment w:val="auto"/>
      </w:pPr>
    </w:p>
    <w:p>
      <w:pPr>
        <w:pStyle w:val="26"/>
        <w:framePr w:hSpace="181" w:vSpace="181" w:wrap="around" w:vAnchor="text" w:hAnchor="page" w:x="1131" w:y="8009"/>
      </w:pPr>
    </w:p>
    <w:sectPr>
      <w:headerReference r:id="rId11" w:type="default"/>
      <w:footerReference r:id="rId12" w:type="default"/>
      <w:pgSz w:w="11906" w:h="16838"/>
      <w:pgMar w:top="567" w:right="1134" w:bottom="1134" w:left="1418" w:header="1418" w:footer="1134" w:gutter="0"/>
      <w:pgNumType w:start="1"/>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fldChar w:fldCharType="begin"/>
    </w:r>
    <w:r>
      <w:instrText xml:space="preserve"> PAGE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fldChar w:fldCharType="begin"/>
    </w:r>
    <w:r>
      <w:instrText xml:space="preserve"> PAGE  \* MERGEFORMAT </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Pr>
    <w:r>
      <w:t>DB13/T XXXX—XXXX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Pr>
    <w:r>
      <w:t>DB13/T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60"/>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118"/>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54"/>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983844"/>
    <w:multiLevelType w:val="multilevel"/>
    <w:tmpl w:val="0D983844"/>
    <w:lvl w:ilvl="0" w:tentative="0">
      <w:start w:val="1"/>
      <w:numFmt w:val="decimal"/>
      <w:pStyle w:val="131"/>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0DDE2B46"/>
    <w:multiLevelType w:val="multilevel"/>
    <w:tmpl w:val="0DDE2B46"/>
    <w:lvl w:ilvl="0" w:tentative="0">
      <w:start w:val="1"/>
      <w:numFmt w:val="lowerLetter"/>
      <w:pStyle w:val="123"/>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16667BBD"/>
    <w:multiLevelType w:val="multilevel"/>
    <w:tmpl w:val="16667BBD"/>
    <w:lvl w:ilvl="0" w:tentative="0">
      <w:start w:val="1"/>
      <w:numFmt w:val="lowerLetter"/>
      <w:pStyle w:val="61"/>
      <w:lvlText w:val="%1)"/>
      <w:lvlJc w:val="left"/>
      <w:pPr>
        <w:tabs>
          <w:tab w:val="left" w:pos="840"/>
        </w:tabs>
        <w:ind w:left="839" w:hanging="419"/>
      </w:pPr>
      <w:rPr>
        <w:rFonts w:hint="eastAsia"/>
        <w:b w:val="0"/>
        <w:i w:val="0"/>
        <w:sz w:val="21"/>
        <w:szCs w:val="21"/>
      </w:rPr>
    </w:lvl>
    <w:lvl w:ilvl="1" w:tentative="0">
      <w:start w:val="1"/>
      <w:numFmt w:val="decimal"/>
      <w:pStyle w:val="56"/>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710" w:firstLine="0"/>
      </w:pPr>
      <w:rPr>
        <w:rFonts w:hint="eastAsia" w:ascii="黑体" w:hAnsi="Times New Roman" w:eastAsia="黑体"/>
        <w:b w:val="0"/>
        <w:i w:val="0"/>
        <w:sz w:val="21"/>
      </w:rPr>
    </w:lvl>
    <w:lvl w:ilvl="3" w:tentative="0">
      <w:start w:val="1"/>
      <w:numFmt w:val="decimal"/>
      <w:lvlText w:val="%1.%2.%3.%4 "/>
      <w:lvlJc w:val="left"/>
      <w:pPr>
        <w:ind w:left="0" w:firstLine="0"/>
      </w:pPr>
      <w:rPr>
        <w:rFonts w:hint="default"/>
      </w:rPr>
    </w:lvl>
    <w:lvl w:ilvl="4" w:tentative="0">
      <w:start w:val="1"/>
      <w:numFmt w:val="decimal"/>
      <w:pStyle w:val="120"/>
      <w:suff w:val="nothing"/>
      <w:lvlText w:val="%1.%2.%3.%4.%5 "/>
      <w:lvlJc w:val="left"/>
      <w:pPr>
        <w:ind w:left="0" w:firstLine="0"/>
      </w:pPr>
      <w:rPr>
        <w:rFonts w:hint="eastAsia" w:ascii="黑体" w:hAnsi="Times New Roman" w:eastAsia="黑体"/>
        <w:b w:val="0"/>
        <w:i w:val="0"/>
        <w:sz w:val="21"/>
      </w:rPr>
    </w:lvl>
    <w:lvl w:ilvl="5" w:tentative="0">
      <w:start w:val="1"/>
      <w:numFmt w:val="decimal"/>
      <w:pStyle w:val="12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2827D5B"/>
    <w:multiLevelType w:val="multilevel"/>
    <w:tmpl w:val="22827D5B"/>
    <w:lvl w:ilvl="0" w:tentative="0">
      <w:start w:val="1"/>
      <w:numFmt w:val="none"/>
      <w:pStyle w:val="66"/>
      <w:suff w:val="nothing"/>
      <w:lvlText w:val="%1注："/>
      <w:lvlJc w:val="left"/>
      <w:pPr>
        <w:ind w:left="789" w:hanging="363"/>
      </w:pPr>
      <w:rPr>
        <w:rFonts w:hint="eastAsia" w:ascii="黑体" w:hAnsi="Times New Roman" w:eastAsia="黑体"/>
        <w:b w:val="0"/>
        <w:i w:val="0"/>
        <w:color w:val="000000" w:themeColor="text1"/>
        <w:sz w:val="18"/>
        <w14:textFill>
          <w14:solidFill>
            <w14:schemeClr w14:val="tx1"/>
          </w14:solidFill>
        </w14:textFill>
      </w:rPr>
    </w:lvl>
    <w:lvl w:ilvl="1" w:tentative="0">
      <w:start w:val="1"/>
      <w:numFmt w:val="lowerLetter"/>
      <w:lvlText w:val="%2)"/>
      <w:lvlJc w:val="left"/>
      <w:pPr>
        <w:tabs>
          <w:tab w:val="left" w:pos="1203"/>
        </w:tabs>
        <w:ind w:left="789" w:hanging="363"/>
      </w:pPr>
      <w:rPr>
        <w:rFonts w:hint="eastAsia"/>
      </w:rPr>
    </w:lvl>
    <w:lvl w:ilvl="2" w:tentative="0">
      <w:start w:val="1"/>
      <w:numFmt w:val="lowerRoman"/>
      <w:lvlText w:val="%3."/>
      <w:lvlJc w:val="right"/>
      <w:pPr>
        <w:tabs>
          <w:tab w:val="left" w:pos="1203"/>
        </w:tabs>
        <w:ind w:left="789" w:hanging="363"/>
      </w:pPr>
      <w:rPr>
        <w:rFonts w:hint="eastAsia"/>
      </w:rPr>
    </w:lvl>
    <w:lvl w:ilvl="3" w:tentative="0">
      <w:start w:val="1"/>
      <w:numFmt w:val="decimal"/>
      <w:lvlText w:val="%4."/>
      <w:lvlJc w:val="left"/>
      <w:pPr>
        <w:tabs>
          <w:tab w:val="left" w:pos="1203"/>
        </w:tabs>
        <w:ind w:left="789" w:hanging="363"/>
      </w:pPr>
      <w:rPr>
        <w:rFonts w:hint="eastAsia"/>
      </w:rPr>
    </w:lvl>
    <w:lvl w:ilvl="4" w:tentative="0">
      <w:start w:val="1"/>
      <w:numFmt w:val="lowerLetter"/>
      <w:lvlText w:val="%5)"/>
      <w:lvlJc w:val="left"/>
      <w:pPr>
        <w:tabs>
          <w:tab w:val="left" w:pos="1203"/>
        </w:tabs>
        <w:ind w:left="789" w:hanging="363"/>
      </w:pPr>
      <w:rPr>
        <w:rFonts w:hint="eastAsia"/>
      </w:rPr>
    </w:lvl>
    <w:lvl w:ilvl="5" w:tentative="0">
      <w:start w:val="1"/>
      <w:numFmt w:val="lowerRoman"/>
      <w:lvlText w:val="%6."/>
      <w:lvlJc w:val="right"/>
      <w:pPr>
        <w:tabs>
          <w:tab w:val="left" w:pos="1203"/>
        </w:tabs>
        <w:ind w:left="789" w:hanging="363"/>
      </w:pPr>
      <w:rPr>
        <w:rFonts w:hint="eastAsia"/>
      </w:rPr>
    </w:lvl>
    <w:lvl w:ilvl="6" w:tentative="0">
      <w:start w:val="1"/>
      <w:numFmt w:val="decimal"/>
      <w:lvlText w:val="%7."/>
      <w:lvlJc w:val="left"/>
      <w:pPr>
        <w:tabs>
          <w:tab w:val="left" w:pos="1203"/>
        </w:tabs>
        <w:ind w:left="789" w:hanging="363"/>
      </w:pPr>
      <w:rPr>
        <w:rFonts w:hint="eastAsia"/>
      </w:rPr>
    </w:lvl>
    <w:lvl w:ilvl="7" w:tentative="0">
      <w:start w:val="1"/>
      <w:numFmt w:val="lowerLetter"/>
      <w:lvlText w:val="%8)"/>
      <w:lvlJc w:val="left"/>
      <w:pPr>
        <w:tabs>
          <w:tab w:val="left" w:pos="1203"/>
        </w:tabs>
        <w:ind w:left="789" w:hanging="363"/>
      </w:pPr>
      <w:rPr>
        <w:rFonts w:hint="eastAsia"/>
      </w:rPr>
    </w:lvl>
    <w:lvl w:ilvl="8" w:tentative="0">
      <w:start w:val="1"/>
      <w:numFmt w:val="lowerRoman"/>
      <w:lvlText w:val="%9."/>
      <w:lvlJc w:val="right"/>
      <w:pPr>
        <w:tabs>
          <w:tab w:val="left" w:pos="1203"/>
        </w:tabs>
        <w:ind w:left="789" w:hanging="363"/>
      </w:pPr>
      <w:rPr>
        <w:rFonts w:hint="eastAsia"/>
      </w:rPr>
    </w:lvl>
  </w:abstractNum>
  <w:abstractNum w:abstractNumId="8">
    <w:nsid w:val="2A8F7113"/>
    <w:multiLevelType w:val="multilevel"/>
    <w:tmpl w:val="2A8F7113"/>
    <w:lvl w:ilvl="0" w:tentative="0">
      <w:start w:val="1"/>
      <w:numFmt w:val="upperLetter"/>
      <w:pStyle w:val="100"/>
      <w:suff w:val="space"/>
      <w:lvlText w:val="%1"/>
      <w:lvlJc w:val="left"/>
      <w:pPr>
        <w:ind w:left="623" w:hanging="425"/>
      </w:pPr>
      <w:rPr>
        <w:rFonts w:hint="eastAsia"/>
      </w:rPr>
    </w:lvl>
    <w:lvl w:ilvl="1" w:tentative="0">
      <w:start w:val="1"/>
      <w:numFmt w:val="decimal"/>
      <w:pStyle w:val="101"/>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tentative="0">
      <w:start w:val="1"/>
      <w:numFmt w:val="none"/>
      <w:pStyle w:val="50"/>
      <w:suff w:val="nothing"/>
      <w:lvlText w:val="%1——"/>
      <w:lvlJc w:val="left"/>
      <w:pPr>
        <w:ind w:left="833" w:hanging="408"/>
      </w:pPr>
      <w:rPr>
        <w:rFonts w:hint="eastAsia"/>
      </w:rPr>
    </w:lvl>
    <w:lvl w:ilvl="1" w:tentative="0">
      <w:start w:val="1"/>
      <w:numFmt w:val="bullet"/>
      <w:pStyle w:val="51"/>
      <w:lvlText w:val=""/>
      <w:lvlJc w:val="left"/>
      <w:pPr>
        <w:tabs>
          <w:tab w:val="left" w:pos="760"/>
        </w:tabs>
        <w:ind w:left="1264" w:hanging="413"/>
      </w:pPr>
      <w:rPr>
        <w:rFonts w:hint="default" w:ascii="Symbol" w:hAnsi="Symbol"/>
        <w:color w:val="auto"/>
      </w:rPr>
    </w:lvl>
    <w:lvl w:ilvl="2" w:tentative="0">
      <w:start w:val="1"/>
      <w:numFmt w:val="bullet"/>
      <w:pStyle w:val="62"/>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0">
    <w:nsid w:val="3D733618"/>
    <w:multiLevelType w:val="multilevel"/>
    <w:tmpl w:val="3D733618"/>
    <w:lvl w:ilvl="0" w:tentative="0">
      <w:start w:val="1"/>
      <w:numFmt w:val="decimal"/>
      <w:pStyle w:val="27"/>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1">
    <w:nsid w:val="4B733A5F"/>
    <w:multiLevelType w:val="multilevel"/>
    <w:tmpl w:val="4B733A5F"/>
    <w:lvl w:ilvl="0" w:tentative="0">
      <w:start w:val="1"/>
      <w:numFmt w:val="decimal"/>
      <w:pStyle w:val="64"/>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2">
    <w:nsid w:val="60B55DC2"/>
    <w:multiLevelType w:val="multilevel"/>
    <w:tmpl w:val="60B55DC2"/>
    <w:lvl w:ilvl="0" w:tentative="0">
      <w:start w:val="1"/>
      <w:numFmt w:val="upperLetter"/>
      <w:pStyle w:val="88"/>
      <w:lvlText w:val="%1"/>
      <w:lvlJc w:val="left"/>
      <w:pPr>
        <w:tabs>
          <w:tab w:val="left" w:pos="0"/>
        </w:tabs>
        <w:ind w:left="0" w:hanging="425"/>
      </w:pPr>
      <w:rPr>
        <w:rFonts w:hint="eastAsia"/>
      </w:rPr>
    </w:lvl>
    <w:lvl w:ilvl="1" w:tentative="0">
      <w:start w:val="1"/>
      <w:numFmt w:val="decimal"/>
      <w:pStyle w:val="89"/>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3">
    <w:nsid w:val="646260FA"/>
    <w:multiLevelType w:val="multilevel"/>
    <w:tmpl w:val="646260FA"/>
    <w:lvl w:ilvl="0" w:tentative="0">
      <w:start w:val="1"/>
      <w:numFmt w:val="decimal"/>
      <w:pStyle w:val="129"/>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2836"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A6D3780"/>
    <w:multiLevelType w:val="multilevel"/>
    <w:tmpl w:val="6A6D3780"/>
    <w:lvl w:ilvl="0" w:tentative="0">
      <w:start w:val="1"/>
      <w:numFmt w:val="decimal"/>
      <w:pStyle w:val="67"/>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6">
    <w:nsid w:val="6CE73117"/>
    <w:multiLevelType w:val="multilevel"/>
    <w:tmpl w:val="6CE73117"/>
    <w:lvl w:ilvl="0" w:tentative="0">
      <w:start w:val="1"/>
      <w:numFmt w:val="decimal"/>
      <w:pStyle w:val="47"/>
      <w:suff w:val="space"/>
      <w:lvlText w:val="%1 "/>
      <w:lvlJc w:val="left"/>
      <w:pPr>
        <w:ind w:left="0" w:firstLine="0"/>
      </w:pPr>
      <w:rPr>
        <w:rFonts w:hint="eastAsia" w:eastAsia="黑体"/>
        <w:sz w:val="21"/>
      </w:rPr>
    </w:lvl>
    <w:lvl w:ilvl="1" w:tentative="0">
      <w:start w:val="1"/>
      <w:numFmt w:val="decimal"/>
      <w:pStyle w:val="44"/>
      <w:suff w:val="space"/>
      <w:lvlText w:val="%1.%2 "/>
      <w:lvlJc w:val="left"/>
      <w:pPr>
        <w:ind w:left="0" w:firstLine="0"/>
      </w:pPr>
      <w:rPr>
        <w:rFonts w:hint="default" w:ascii="黑体" w:hAnsi="黑体" w:eastAsia="黑体" w:cs="黑体"/>
      </w:rPr>
    </w:lvl>
    <w:lvl w:ilvl="2" w:tentative="0">
      <w:start w:val="1"/>
      <w:numFmt w:val="decimal"/>
      <w:pStyle w:val="48"/>
      <w:suff w:val="space"/>
      <w:lvlText w:val="%1.%2.%3 "/>
      <w:lvlJc w:val="left"/>
      <w:pPr>
        <w:ind w:left="0" w:firstLine="0"/>
      </w:pPr>
      <w:rPr>
        <w:rFonts w:hint="default" w:ascii="黑体" w:hAnsi="黑体" w:eastAsia="黑体" w:cs="黑体"/>
      </w:rPr>
    </w:lvl>
    <w:lvl w:ilvl="3" w:tentative="0">
      <w:start w:val="1"/>
      <w:numFmt w:val="decimal"/>
      <w:pStyle w:val="53"/>
      <w:suff w:val="space"/>
      <w:lvlText w:val="%1.%2.%3.%4 "/>
      <w:lvlJc w:val="left"/>
      <w:pPr>
        <w:ind w:left="0" w:firstLine="0"/>
      </w:pPr>
      <w:rPr>
        <w:rFonts w:hint="eastAsia"/>
      </w:rPr>
    </w:lvl>
    <w:lvl w:ilvl="4" w:tentative="0">
      <w:start w:val="1"/>
      <w:numFmt w:val="decimal"/>
      <w:pStyle w:val="57"/>
      <w:suff w:val="space"/>
      <w:lvlText w:val="%1.%2.%3.%4.%5 "/>
      <w:lvlJc w:val="left"/>
      <w:pPr>
        <w:ind w:left="0" w:firstLine="0"/>
      </w:pPr>
      <w:rPr>
        <w:rFonts w:hint="eastAsia"/>
      </w:rPr>
    </w:lvl>
    <w:lvl w:ilvl="5" w:tentative="0">
      <w:start w:val="1"/>
      <w:numFmt w:val="decimal"/>
      <w:pStyle w:val="58"/>
      <w:suff w:val="space"/>
      <w:lvlText w:val="%1.%2.%3.%4.%5.%6 "/>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7">
    <w:nsid w:val="6D6C07CD"/>
    <w:multiLevelType w:val="multilevel"/>
    <w:tmpl w:val="6D6C07CD"/>
    <w:lvl w:ilvl="0" w:tentative="0">
      <w:start w:val="1"/>
      <w:numFmt w:val="lowerLetter"/>
      <w:pStyle w:val="107"/>
      <w:lvlText w:val="%1)"/>
      <w:lvlJc w:val="left"/>
      <w:pPr>
        <w:tabs>
          <w:tab w:val="left" w:pos="839"/>
        </w:tabs>
        <w:ind w:left="839" w:hanging="419"/>
      </w:pPr>
      <w:rPr>
        <w:rFonts w:hint="eastAsia" w:ascii="宋体" w:eastAsia="宋体"/>
        <w:b w:val="0"/>
        <w:i w:val="0"/>
        <w:sz w:val="21"/>
      </w:rPr>
    </w:lvl>
    <w:lvl w:ilvl="1" w:tentative="0">
      <w:start w:val="1"/>
      <w:numFmt w:val="decimal"/>
      <w:pStyle w:val="97"/>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8">
    <w:nsid w:val="6DBF04F4"/>
    <w:multiLevelType w:val="multilevel"/>
    <w:tmpl w:val="6DBF04F4"/>
    <w:lvl w:ilvl="0" w:tentative="0">
      <w:start w:val="1"/>
      <w:numFmt w:val="none"/>
      <w:pStyle w:val="59"/>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9">
    <w:nsid w:val="725F7525"/>
    <w:multiLevelType w:val="multilevel"/>
    <w:tmpl w:val="725F7525"/>
    <w:lvl w:ilvl="0" w:tentative="0">
      <w:start w:val="1"/>
      <w:numFmt w:val="decimal"/>
      <w:lvlText w:val="[%1]"/>
      <w:lvlJc w:val="left"/>
      <w:pPr>
        <w:ind w:left="840" w:hanging="420"/>
      </w:pPr>
      <w:rPr>
        <w:rFonts w:hint="eastAsia"/>
      </w:rPr>
    </w:lvl>
    <w:lvl w:ilvl="1" w:tentative="0">
      <w:start w:val="1"/>
      <w:numFmt w:val="decimal"/>
      <w:pStyle w:val="150"/>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16"/>
  </w:num>
  <w:num w:numId="3">
    <w:abstractNumId w:val="9"/>
  </w:num>
  <w:num w:numId="4">
    <w:abstractNumId w:val="2"/>
  </w:num>
  <w:num w:numId="5">
    <w:abstractNumId w:val="5"/>
  </w:num>
  <w:num w:numId="6">
    <w:abstractNumId w:val="18"/>
  </w:num>
  <w:num w:numId="7">
    <w:abstractNumId w:val="0"/>
  </w:num>
  <w:num w:numId="8">
    <w:abstractNumId w:val="11"/>
  </w:num>
  <w:num w:numId="9">
    <w:abstractNumId w:val="7"/>
  </w:num>
  <w:num w:numId="10">
    <w:abstractNumId w:val="15"/>
  </w:num>
  <w:num w:numId="11">
    <w:abstractNumId w:val="12"/>
  </w:num>
  <w:num w:numId="12">
    <w:abstractNumId w:val="17"/>
  </w:num>
  <w:num w:numId="13">
    <w:abstractNumId w:val="8"/>
  </w:num>
  <w:num w:numId="14">
    <w:abstractNumId w:val="1"/>
  </w:num>
  <w:num w:numId="15">
    <w:abstractNumId w:val="6"/>
  </w:num>
  <w:num w:numId="16">
    <w:abstractNumId w:val="4"/>
  </w:num>
  <w:num w:numId="17">
    <w:abstractNumId w:val="13"/>
  </w:num>
  <w:num w:numId="18">
    <w:abstractNumId w:val="3"/>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3NWRkZWZmNDZmZTBiOWJhY2FmNjg2M2QxNzhmN2IifQ=="/>
    <w:docVar w:name="KSO_WPS_MARK_KEY" w:val="67cde914-1516-4166-a0c7-aacbf112fa48"/>
  </w:docVars>
  <w:rsids>
    <w:rsidRoot w:val="71965D9A"/>
    <w:rsid w:val="00000244"/>
    <w:rsid w:val="0000185F"/>
    <w:rsid w:val="000024D3"/>
    <w:rsid w:val="000053B0"/>
    <w:rsid w:val="0000586F"/>
    <w:rsid w:val="00006A6E"/>
    <w:rsid w:val="0001233B"/>
    <w:rsid w:val="00013D86"/>
    <w:rsid w:val="00013E02"/>
    <w:rsid w:val="0002121F"/>
    <w:rsid w:val="0002143C"/>
    <w:rsid w:val="000215FE"/>
    <w:rsid w:val="00025A65"/>
    <w:rsid w:val="00026C31"/>
    <w:rsid w:val="00027280"/>
    <w:rsid w:val="00027869"/>
    <w:rsid w:val="000320A7"/>
    <w:rsid w:val="00035925"/>
    <w:rsid w:val="000378F3"/>
    <w:rsid w:val="0004077A"/>
    <w:rsid w:val="000455F6"/>
    <w:rsid w:val="000456E4"/>
    <w:rsid w:val="00050549"/>
    <w:rsid w:val="00053025"/>
    <w:rsid w:val="00055016"/>
    <w:rsid w:val="0005676A"/>
    <w:rsid w:val="00056891"/>
    <w:rsid w:val="00060186"/>
    <w:rsid w:val="00060320"/>
    <w:rsid w:val="00061BD7"/>
    <w:rsid w:val="00064214"/>
    <w:rsid w:val="000651BA"/>
    <w:rsid w:val="00066E9E"/>
    <w:rsid w:val="00067CDF"/>
    <w:rsid w:val="00070887"/>
    <w:rsid w:val="000748FF"/>
    <w:rsid w:val="00074FBE"/>
    <w:rsid w:val="00081D80"/>
    <w:rsid w:val="00082A7E"/>
    <w:rsid w:val="00083A09"/>
    <w:rsid w:val="00084969"/>
    <w:rsid w:val="000873CC"/>
    <w:rsid w:val="00087F5D"/>
    <w:rsid w:val="0009005E"/>
    <w:rsid w:val="00090B04"/>
    <w:rsid w:val="00092857"/>
    <w:rsid w:val="00094926"/>
    <w:rsid w:val="000979C3"/>
    <w:rsid w:val="000A20A9"/>
    <w:rsid w:val="000A24CB"/>
    <w:rsid w:val="000A3168"/>
    <w:rsid w:val="000A37C0"/>
    <w:rsid w:val="000A45C4"/>
    <w:rsid w:val="000A45D3"/>
    <w:rsid w:val="000A48B1"/>
    <w:rsid w:val="000A68AB"/>
    <w:rsid w:val="000B3143"/>
    <w:rsid w:val="000B3C4F"/>
    <w:rsid w:val="000C582C"/>
    <w:rsid w:val="000C6B05"/>
    <w:rsid w:val="000C6DD6"/>
    <w:rsid w:val="000C73D4"/>
    <w:rsid w:val="000D2CF3"/>
    <w:rsid w:val="000D3D4C"/>
    <w:rsid w:val="000D4F51"/>
    <w:rsid w:val="000D6CFF"/>
    <w:rsid w:val="000D718B"/>
    <w:rsid w:val="000E0C46"/>
    <w:rsid w:val="000E0D69"/>
    <w:rsid w:val="000E78FD"/>
    <w:rsid w:val="000F030C"/>
    <w:rsid w:val="000F129C"/>
    <w:rsid w:val="00100680"/>
    <w:rsid w:val="00104F16"/>
    <w:rsid w:val="001056DE"/>
    <w:rsid w:val="00106F3C"/>
    <w:rsid w:val="001124C0"/>
    <w:rsid w:val="001230FD"/>
    <w:rsid w:val="00125A8B"/>
    <w:rsid w:val="0013175F"/>
    <w:rsid w:val="0013332E"/>
    <w:rsid w:val="0013554D"/>
    <w:rsid w:val="00137A49"/>
    <w:rsid w:val="00142131"/>
    <w:rsid w:val="0014319E"/>
    <w:rsid w:val="00144EDE"/>
    <w:rsid w:val="00145798"/>
    <w:rsid w:val="00147B89"/>
    <w:rsid w:val="001512B4"/>
    <w:rsid w:val="00151930"/>
    <w:rsid w:val="00152390"/>
    <w:rsid w:val="001559F2"/>
    <w:rsid w:val="001620A5"/>
    <w:rsid w:val="001629BC"/>
    <w:rsid w:val="00164E53"/>
    <w:rsid w:val="001668AD"/>
    <w:rsid w:val="0016699D"/>
    <w:rsid w:val="00175159"/>
    <w:rsid w:val="00176208"/>
    <w:rsid w:val="00176AA8"/>
    <w:rsid w:val="0018211B"/>
    <w:rsid w:val="001840D3"/>
    <w:rsid w:val="00185E08"/>
    <w:rsid w:val="00186C51"/>
    <w:rsid w:val="00187759"/>
    <w:rsid w:val="001900F8"/>
    <w:rsid w:val="00191258"/>
    <w:rsid w:val="00192680"/>
    <w:rsid w:val="00193037"/>
    <w:rsid w:val="00193A2C"/>
    <w:rsid w:val="00195A71"/>
    <w:rsid w:val="00195DA9"/>
    <w:rsid w:val="001A288E"/>
    <w:rsid w:val="001B0AA8"/>
    <w:rsid w:val="001B511A"/>
    <w:rsid w:val="001B5853"/>
    <w:rsid w:val="001B5B9B"/>
    <w:rsid w:val="001B6DC2"/>
    <w:rsid w:val="001B7F45"/>
    <w:rsid w:val="001C149C"/>
    <w:rsid w:val="001C1C23"/>
    <w:rsid w:val="001C21AC"/>
    <w:rsid w:val="001C47BA"/>
    <w:rsid w:val="001C59EA"/>
    <w:rsid w:val="001D102C"/>
    <w:rsid w:val="001D25EF"/>
    <w:rsid w:val="001D3894"/>
    <w:rsid w:val="001D406C"/>
    <w:rsid w:val="001D41EE"/>
    <w:rsid w:val="001D7BE1"/>
    <w:rsid w:val="001E0380"/>
    <w:rsid w:val="001E135E"/>
    <w:rsid w:val="001E13B1"/>
    <w:rsid w:val="001E13E8"/>
    <w:rsid w:val="001E35DF"/>
    <w:rsid w:val="001E4196"/>
    <w:rsid w:val="001E563D"/>
    <w:rsid w:val="001E7022"/>
    <w:rsid w:val="001F3A19"/>
    <w:rsid w:val="002046D4"/>
    <w:rsid w:val="0020541F"/>
    <w:rsid w:val="00215F0E"/>
    <w:rsid w:val="00215F95"/>
    <w:rsid w:val="002245D5"/>
    <w:rsid w:val="00225C8E"/>
    <w:rsid w:val="00226814"/>
    <w:rsid w:val="00234467"/>
    <w:rsid w:val="002346F0"/>
    <w:rsid w:val="00235AFA"/>
    <w:rsid w:val="00237D8D"/>
    <w:rsid w:val="00241DA2"/>
    <w:rsid w:val="00246C16"/>
    <w:rsid w:val="00247FEE"/>
    <w:rsid w:val="00250E7D"/>
    <w:rsid w:val="0025654C"/>
    <w:rsid w:val="002565D5"/>
    <w:rsid w:val="00261E4A"/>
    <w:rsid w:val="002622C0"/>
    <w:rsid w:val="00271195"/>
    <w:rsid w:val="002717C6"/>
    <w:rsid w:val="00274D48"/>
    <w:rsid w:val="00276A65"/>
    <w:rsid w:val="002778AE"/>
    <w:rsid w:val="0028129D"/>
    <w:rsid w:val="0028269A"/>
    <w:rsid w:val="00283590"/>
    <w:rsid w:val="00283678"/>
    <w:rsid w:val="0028373D"/>
    <w:rsid w:val="00284F69"/>
    <w:rsid w:val="00286973"/>
    <w:rsid w:val="00292704"/>
    <w:rsid w:val="00292BE5"/>
    <w:rsid w:val="00294AAC"/>
    <w:rsid w:val="00294E70"/>
    <w:rsid w:val="002A0F5C"/>
    <w:rsid w:val="002A141D"/>
    <w:rsid w:val="002A1924"/>
    <w:rsid w:val="002A7420"/>
    <w:rsid w:val="002B0F12"/>
    <w:rsid w:val="002B1308"/>
    <w:rsid w:val="002B1D86"/>
    <w:rsid w:val="002B4554"/>
    <w:rsid w:val="002C1A42"/>
    <w:rsid w:val="002C72D8"/>
    <w:rsid w:val="002D11FA"/>
    <w:rsid w:val="002E0DDF"/>
    <w:rsid w:val="002E25BD"/>
    <w:rsid w:val="002E2906"/>
    <w:rsid w:val="002E363B"/>
    <w:rsid w:val="002E4928"/>
    <w:rsid w:val="002E50A6"/>
    <w:rsid w:val="002E5635"/>
    <w:rsid w:val="002E64C3"/>
    <w:rsid w:val="002E6A2C"/>
    <w:rsid w:val="002E6EBC"/>
    <w:rsid w:val="002F1D8C"/>
    <w:rsid w:val="002F21DA"/>
    <w:rsid w:val="002F3489"/>
    <w:rsid w:val="00301F39"/>
    <w:rsid w:val="00304C5F"/>
    <w:rsid w:val="003074A5"/>
    <w:rsid w:val="00310A54"/>
    <w:rsid w:val="00315E5D"/>
    <w:rsid w:val="00325926"/>
    <w:rsid w:val="003277B3"/>
    <w:rsid w:val="00327A8A"/>
    <w:rsid w:val="00336610"/>
    <w:rsid w:val="00343F73"/>
    <w:rsid w:val="00344F93"/>
    <w:rsid w:val="00345060"/>
    <w:rsid w:val="00345650"/>
    <w:rsid w:val="00346FE0"/>
    <w:rsid w:val="00351B28"/>
    <w:rsid w:val="0035323B"/>
    <w:rsid w:val="0035378A"/>
    <w:rsid w:val="00356F97"/>
    <w:rsid w:val="003609D2"/>
    <w:rsid w:val="00363F22"/>
    <w:rsid w:val="003654C4"/>
    <w:rsid w:val="003674EB"/>
    <w:rsid w:val="0037334B"/>
    <w:rsid w:val="00375564"/>
    <w:rsid w:val="00382EAB"/>
    <w:rsid w:val="00383191"/>
    <w:rsid w:val="00386DED"/>
    <w:rsid w:val="003912E7"/>
    <w:rsid w:val="00393947"/>
    <w:rsid w:val="003A170B"/>
    <w:rsid w:val="003A1C6A"/>
    <w:rsid w:val="003A2275"/>
    <w:rsid w:val="003A2A45"/>
    <w:rsid w:val="003A6A4F"/>
    <w:rsid w:val="003A7088"/>
    <w:rsid w:val="003B00DF"/>
    <w:rsid w:val="003B114F"/>
    <w:rsid w:val="003B1275"/>
    <w:rsid w:val="003B1778"/>
    <w:rsid w:val="003B2EAC"/>
    <w:rsid w:val="003B6DF1"/>
    <w:rsid w:val="003C11CB"/>
    <w:rsid w:val="003C75F3"/>
    <w:rsid w:val="003C78A3"/>
    <w:rsid w:val="003D0DC2"/>
    <w:rsid w:val="003D2966"/>
    <w:rsid w:val="003E1867"/>
    <w:rsid w:val="003E5729"/>
    <w:rsid w:val="003E5EAE"/>
    <w:rsid w:val="003E6A28"/>
    <w:rsid w:val="003E7514"/>
    <w:rsid w:val="003E7529"/>
    <w:rsid w:val="003F2AF5"/>
    <w:rsid w:val="003F3E91"/>
    <w:rsid w:val="003F4EE0"/>
    <w:rsid w:val="003F5AC7"/>
    <w:rsid w:val="003F7207"/>
    <w:rsid w:val="004009C8"/>
    <w:rsid w:val="00400E9E"/>
    <w:rsid w:val="00402153"/>
    <w:rsid w:val="00402FC1"/>
    <w:rsid w:val="004035C7"/>
    <w:rsid w:val="004046C4"/>
    <w:rsid w:val="00406C5E"/>
    <w:rsid w:val="004100FE"/>
    <w:rsid w:val="00421E5E"/>
    <w:rsid w:val="00425082"/>
    <w:rsid w:val="00427D04"/>
    <w:rsid w:val="00431DEB"/>
    <w:rsid w:val="0043263E"/>
    <w:rsid w:val="00436B51"/>
    <w:rsid w:val="00446B29"/>
    <w:rsid w:val="00453F9A"/>
    <w:rsid w:val="00455CE5"/>
    <w:rsid w:val="00462CEC"/>
    <w:rsid w:val="004672B1"/>
    <w:rsid w:val="00471E91"/>
    <w:rsid w:val="00474675"/>
    <w:rsid w:val="0047470C"/>
    <w:rsid w:val="00485BDC"/>
    <w:rsid w:val="00492D95"/>
    <w:rsid w:val="00492FDB"/>
    <w:rsid w:val="00493BC3"/>
    <w:rsid w:val="0049613A"/>
    <w:rsid w:val="004969B2"/>
    <w:rsid w:val="004A35F9"/>
    <w:rsid w:val="004B15D8"/>
    <w:rsid w:val="004B24C1"/>
    <w:rsid w:val="004B6742"/>
    <w:rsid w:val="004C292F"/>
    <w:rsid w:val="004C5C89"/>
    <w:rsid w:val="004C711D"/>
    <w:rsid w:val="004D4F0A"/>
    <w:rsid w:val="004D56B9"/>
    <w:rsid w:val="004E3212"/>
    <w:rsid w:val="004F0D37"/>
    <w:rsid w:val="004F49A3"/>
    <w:rsid w:val="004F49F6"/>
    <w:rsid w:val="005008F7"/>
    <w:rsid w:val="00501F7B"/>
    <w:rsid w:val="00510280"/>
    <w:rsid w:val="00512F3E"/>
    <w:rsid w:val="00513D73"/>
    <w:rsid w:val="00514A43"/>
    <w:rsid w:val="00516C20"/>
    <w:rsid w:val="005174E5"/>
    <w:rsid w:val="00522393"/>
    <w:rsid w:val="00522620"/>
    <w:rsid w:val="00525656"/>
    <w:rsid w:val="0053046D"/>
    <w:rsid w:val="00532043"/>
    <w:rsid w:val="00532518"/>
    <w:rsid w:val="00534C02"/>
    <w:rsid w:val="00535E75"/>
    <w:rsid w:val="00540BCD"/>
    <w:rsid w:val="00541D7D"/>
    <w:rsid w:val="0054264B"/>
    <w:rsid w:val="00543786"/>
    <w:rsid w:val="0054387C"/>
    <w:rsid w:val="005533D7"/>
    <w:rsid w:val="00557D42"/>
    <w:rsid w:val="00564C39"/>
    <w:rsid w:val="00570354"/>
    <w:rsid w:val="005703DE"/>
    <w:rsid w:val="00570CF6"/>
    <w:rsid w:val="0057196D"/>
    <w:rsid w:val="0057501A"/>
    <w:rsid w:val="00575F5E"/>
    <w:rsid w:val="00581128"/>
    <w:rsid w:val="0058464E"/>
    <w:rsid w:val="0058610C"/>
    <w:rsid w:val="0059030D"/>
    <w:rsid w:val="00593B48"/>
    <w:rsid w:val="00596272"/>
    <w:rsid w:val="005A01CB"/>
    <w:rsid w:val="005A0D62"/>
    <w:rsid w:val="005A58FF"/>
    <w:rsid w:val="005A5EAF"/>
    <w:rsid w:val="005A64C0"/>
    <w:rsid w:val="005A7487"/>
    <w:rsid w:val="005B0023"/>
    <w:rsid w:val="005B0A4B"/>
    <w:rsid w:val="005B1E4E"/>
    <w:rsid w:val="005B3C11"/>
    <w:rsid w:val="005B4FF9"/>
    <w:rsid w:val="005B5A19"/>
    <w:rsid w:val="005B651D"/>
    <w:rsid w:val="005C1706"/>
    <w:rsid w:val="005C1C28"/>
    <w:rsid w:val="005C53B2"/>
    <w:rsid w:val="005C6DB5"/>
    <w:rsid w:val="005C74FE"/>
    <w:rsid w:val="005D39B7"/>
    <w:rsid w:val="005E19E7"/>
    <w:rsid w:val="005E232A"/>
    <w:rsid w:val="005E259F"/>
    <w:rsid w:val="005E562B"/>
    <w:rsid w:val="005E59DE"/>
    <w:rsid w:val="005E60CE"/>
    <w:rsid w:val="005F0D35"/>
    <w:rsid w:val="005F3A96"/>
    <w:rsid w:val="005F7640"/>
    <w:rsid w:val="005F7E9E"/>
    <w:rsid w:val="0060413E"/>
    <w:rsid w:val="00604B74"/>
    <w:rsid w:val="00607EC9"/>
    <w:rsid w:val="006126C0"/>
    <w:rsid w:val="006128E9"/>
    <w:rsid w:val="006149F1"/>
    <w:rsid w:val="0061716C"/>
    <w:rsid w:val="00620D38"/>
    <w:rsid w:val="006243A1"/>
    <w:rsid w:val="006278EC"/>
    <w:rsid w:val="0063162D"/>
    <w:rsid w:val="00631E62"/>
    <w:rsid w:val="00632E56"/>
    <w:rsid w:val="00635CBA"/>
    <w:rsid w:val="006407B5"/>
    <w:rsid w:val="0064338B"/>
    <w:rsid w:val="00644F98"/>
    <w:rsid w:val="00646542"/>
    <w:rsid w:val="006504F4"/>
    <w:rsid w:val="006507F4"/>
    <w:rsid w:val="00654BC9"/>
    <w:rsid w:val="006552CA"/>
    <w:rsid w:val="006552FD"/>
    <w:rsid w:val="00663AF3"/>
    <w:rsid w:val="00666B6C"/>
    <w:rsid w:val="0066776B"/>
    <w:rsid w:val="0066799C"/>
    <w:rsid w:val="00676405"/>
    <w:rsid w:val="00682682"/>
    <w:rsid w:val="00682702"/>
    <w:rsid w:val="00682CAE"/>
    <w:rsid w:val="00684333"/>
    <w:rsid w:val="00692368"/>
    <w:rsid w:val="00693782"/>
    <w:rsid w:val="00693C38"/>
    <w:rsid w:val="006A0055"/>
    <w:rsid w:val="006A01CA"/>
    <w:rsid w:val="006A2EBC"/>
    <w:rsid w:val="006A5EA0"/>
    <w:rsid w:val="006A783B"/>
    <w:rsid w:val="006A7B33"/>
    <w:rsid w:val="006B204A"/>
    <w:rsid w:val="006B230C"/>
    <w:rsid w:val="006B4E13"/>
    <w:rsid w:val="006B75DD"/>
    <w:rsid w:val="006C08B7"/>
    <w:rsid w:val="006C67E0"/>
    <w:rsid w:val="006C7ABA"/>
    <w:rsid w:val="006D0D60"/>
    <w:rsid w:val="006D1122"/>
    <w:rsid w:val="006D2F81"/>
    <w:rsid w:val="006D3C00"/>
    <w:rsid w:val="006D6CF4"/>
    <w:rsid w:val="006E05BB"/>
    <w:rsid w:val="006E11C4"/>
    <w:rsid w:val="006E2AF4"/>
    <w:rsid w:val="006E3675"/>
    <w:rsid w:val="006E431E"/>
    <w:rsid w:val="006E4A7F"/>
    <w:rsid w:val="006E59DB"/>
    <w:rsid w:val="006F5451"/>
    <w:rsid w:val="00701D24"/>
    <w:rsid w:val="00704DF6"/>
    <w:rsid w:val="0070651C"/>
    <w:rsid w:val="007132A3"/>
    <w:rsid w:val="0071447D"/>
    <w:rsid w:val="00716421"/>
    <w:rsid w:val="00724EFB"/>
    <w:rsid w:val="00726FFE"/>
    <w:rsid w:val="007334E0"/>
    <w:rsid w:val="007419C3"/>
    <w:rsid w:val="0074261B"/>
    <w:rsid w:val="00744814"/>
    <w:rsid w:val="00744F22"/>
    <w:rsid w:val="007454DE"/>
    <w:rsid w:val="00745EE3"/>
    <w:rsid w:val="007467A7"/>
    <w:rsid w:val="007469DD"/>
    <w:rsid w:val="0074741B"/>
    <w:rsid w:val="0074759E"/>
    <w:rsid w:val="007478EA"/>
    <w:rsid w:val="0075415C"/>
    <w:rsid w:val="007549D1"/>
    <w:rsid w:val="00756A6C"/>
    <w:rsid w:val="00762B7C"/>
    <w:rsid w:val="00763502"/>
    <w:rsid w:val="00764C2C"/>
    <w:rsid w:val="00766ABD"/>
    <w:rsid w:val="007744A9"/>
    <w:rsid w:val="00774FCA"/>
    <w:rsid w:val="007823C1"/>
    <w:rsid w:val="007913AB"/>
    <w:rsid w:val="007914F7"/>
    <w:rsid w:val="007972CC"/>
    <w:rsid w:val="00797409"/>
    <w:rsid w:val="007A6D6B"/>
    <w:rsid w:val="007B1625"/>
    <w:rsid w:val="007B5A52"/>
    <w:rsid w:val="007B65F0"/>
    <w:rsid w:val="007B6C5B"/>
    <w:rsid w:val="007B706E"/>
    <w:rsid w:val="007B71EB"/>
    <w:rsid w:val="007B7457"/>
    <w:rsid w:val="007C6205"/>
    <w:rsid w:val="007C6359"/>
    <w:rsid w:val="007C686A"/>
    <w:rsid w:val="007C728E"/>
    <w:rsid w:val="007D2C53"/>
    <w:rsid w:val="007D3D60"/>
    <w:rsid w:val="007D66C9"/>
    <w:rsid w:val="007E1980"/>
    <w:rsid w:val="007E1EEB"/>
    <w:rsid w:val="007E4B76"/>
    <w:rsid w:val="007E5EA8"/>
    <w:rsid w:val="007E6EB0"/>
    <w:rsid w:val="007F052A"/>
    <w:rsid w:val="007F0CF1"/>
    <w:rsid w:val="007F12A5"/>
    <w:rsid w:val="007F1923"/>
    <w:rsid w:val="007F26FD"/>
    <w:rsid w:val="007F4CF1"/>
    <w:rsid w:val="007F758D"/>
    <w:rsid w:val="007F7D52"/>
    <w:rsid w:val="00801608"/>
    <w:rsid w:val="00802672"/>
    <w:rsid w:val="0080654C"/>
    <w:rsid w:val="00806796"/>
    <w:rsid w:val="008071C6"/>
    <w:rsid w:val="008127A2"/>
    <w:rsid w:val="00813900"/>
    <w:rsid w:val="00814471"/>
    <w:rsid w:val="00815D7E"/>
    <w:rsid w:val="00817A00"/>
    <w:rsid w:val="0082108D"/>
    <w:rsid w:val="00821CAE"/>
    <w:rsid w:val="008265DF"/>
    <w:rsid w:val="00831AA2"/>
    <w:rsid w:val="00835DB3"/>
    <w:rsid w:val="0083617B"/>
    <w:rsid w:val="008370D2"/>
    <w:rsid w:val="008371BD"/>
    <w:rsid w:val="0084297F"/>
    <w:rsid w:val="008446E3"/>
    <w:rsid w:val="008447FF"/>
    <w:rsid w:val="008504A8"/>
    <w:rsid w:val="0085202D"/>
    <w:rsid w:val="00852108"/>
    <w:rsid w:val="0085282E"/>
    <w:rsid w:val="00855EF4"/>
    <w:rsid w:val="008652BC"/>
    <w:rsid w:val="0087198C"/>
    <w:rsid w:val="0087249A"/>
    <w:rsid w:val="00872C1F"/>
    <w:rsid w:val="008735C6"/>
    <w:rsid w:val="00873B42"/>
    <w:rsid w:val="00873F6C"/>
    <w:rsid w:val="008768B0"/>
    <w:rsid w:val="00885446"/>
    <w:rsid w:val="008856D8"/>
    <w:rsid w:val="0089069C"/>
    <w:rsid w:val="00892E82"/>
    <w:rsid w:val="00893D49"/>
    <w:rsid w:val="00896411"/>
    <w:rsid w:val="008A1536"/>
    <w:rsid w:val="008A236D"/>
    <w:rsid w:val="008A3B7C"/>
    <w:rsid w:val="008A753A"/>
    <w:rsid w:val="008B276C"/>
    <w:rsid w:val="008C06EB"/>
    <w:rsid w:val="008C1B4A"/>
    <w:rsid w:val="008C1B58"/>
    <w:rsid w:val="008C39AE"/>
    <w:rsid w:val="008C590D"/>
    <w:rsid w:val="008C67C7"/>
    <w:rsid w:val="008D0215"/>
    <w:rsid w:val="008D2FAF"/>
    <w:rsid w:val="008D564F"/>
    <w:rsid w:val="008D565B"/>
    <w:rsid w:val="008D6781"/>
    <w:rsid w:val="008D758F"/>
    <w:rsid w:val="008E031B"/>
    <w:rsid w:val="008E059C"/>
    <w:rsid w:val="008E1C59"/>
    <w:rsid w:val="008E5E48"/>
    <w:rsid w:val="008E7029"/>
    <w:rsid w:val="008E7749"/>
    <w:rsid w:val="008E7EF6"/>
    <w:rsid w:val="008F1F98"/>
    <w:rsid w:val="008F4675"/>
    <w:rsid w:val="008F650E"/>
    <w:rsid w:val="008F6758"/>
    <w:rsid w:val="008F692D"/>
    <w:rsid w:val="008F716A"/>
    <w:rsid w:val="00900275"/>
    <w:rsid w:val="009040DD"/>
    <w:rsid w:val="00904828"/>
    <w:rsid w:val="00905B47"/>
    <w:rsid w:val="00911190"/>
    <w:rsid w:val="0091331C"/>
    <w:rsid w:val="00913C85"/>
    <w:rsid w:val="00915E33"/>
    <w:rsid w:val="0092513A"/>
    <w:rsid w:val="009279DE"/>
    <w:rsid w:val="00930116"/>
    <w:rsid w:val="00930D34"/>
    <w:rsid w:val="00935495"/>
    <w:rsid w:val="0094212C"/>
    <w:rsid w:val="009438A2"/>
    <w:rsid w:val="009468EF"/>
    <w:rsid w:val="009543BE"/>
    <w:rsid w:val="00954689"/>
    <w:rsid w:val="009617C9"/>
    <w:rsid w:val="00961C93"/>
    <w:rsid w:val="00963DD4"/>
    <w:rsid w:val="00965324"/>
    <w:rsid w:val="0097091E"/>
    <w:rsid w:val="009739DE"/>
    <w:rsid w:val="009760D3"/>
    <w:rsid w:val="009770CC"/>
    <w:rsid w:val="00977132"/>
    <w:rsid w:val="009805EA"/>
    <w:rsid w:val="00981A4B"/>
    <w:rsid w:val="00982501"/>
    <w:rsid w:val="00986B9C"/>
    <w:rsid w:val="009877D3"/>
    <w:rsid w:val="00987806"/>
    <w:rsid w:val="00987D50"/>
    <w:rsid w:val="00990471"/>
    <w:rsid w:val="0099200F"/>
    <w:rsid w:val="009939DD"/>
    <w:rsid w:val="00994E0E"/>
    <w:rsid w:val="00994E8F"/>
    <w:rsid w:val="009951DC"/>
    <w:rsid w:val="009959BB"/>
    <w:rsid w:val="00997158"/>
    <w:rsid w:val="009A1324"/>
    <w:rsid w:val="009A2D72"/>
    <w:rsid w:val="009A3A7C"/>
    <w:rsid w:val="009A6F7F"/>
    <w:rsid w:val="009B2293"/>
    <w:rsid w:val="009B2ADB"/>
    <w:rsid w:val="009B5825"/>
    <w:rsid w:val="009B603A"/>
    <w:rsid w:val="009C0DF3"/>
    <w:rsid w:val="009C2D0E"/>
    <w:rsid w:val="009C3DAC"/>
    <w:rsid w:val="009C42E0"/>
    <w:rsid w:val="009D206E"/>
    <w:rsid w:val="009D42F1"/>
    <w:rsid w:val="009D5362"/>
    <w:rsid w:val="009E1415"/>
    <w:rsid w:val="009E4D58"/>
    <w:rsid w:val="009E60F2"/>
    <w:rsid w:val="009E6116"/>
    <w:rsid w:val="009F096B"/>
    <w:rsid w:val="009F14AB"/>
    <w:rsid w:val="009F31C5"/>
    <w:rsid w:val="00A020A7"/>
    <w:rsid w:val="00A02E43"/>
    <w:rsid w:val="00A05ACB"/>
    <w:rsid w:val="00A065F9"/>
    <w:rsid w:val="00A07F34"/>
    <w:rsid w:val="00A16306"/>
    <w:rsid w:val="00A22154"/>
    <w:rsid w:val="00A24CA6"/>
    <w:rsid w:val="00A25C38"/>
    <w:rsid w:val="00A27CA2"/>
    <w:rsid w:val="00A31C69"/>
    <w:rsid w:val="00A3328C"/>
    <w:rsid w:val="00A3618A"/>
    <w:rsid w:val="00A36B07"/>
    <w:rsid w:val="00A36BBE"/>
    <w:rsid w:val="00A40DA4"/>
    <w:rsid w:val="00A42404"/>
    <w:rsid w:val="00A4307A"/>
    <w:rsid w:val="00A45884"/>
    <w:rsid w:val="00A47EBB"/>
    <w:rsid w:val="00A51890"/>
    <w:rsid w:val="00A51CDD"/>
    <w:rsid w:val="00A54FD3"/>
    <w:rsid w:val="00A6457A"/>
    <w:rsid w:val="00A66513"/>
    <w:rsid w:val="00A6730D"/>
    <w:rsid w:val="00A7086D"/>
    <w:rsid w:val="00A70B14"/>
    <w:rsid w:val="00A71625"/>
    <w:rsid w:val="00A71B9B"/>
    <w:rsid w:val="00A751C7"/>
    <w:rsid w:val="00A769E6"/>
    <w:rsid w:val="00A77E57"/>
    <w:rsid w:val="00A8178C"/>
    <w:rsid w:val="00A81974"/>
    <w:rsid w:val="00A836A4"/>
    <w:rsid w:val="00A84816"/>
    <w:rsid w:val="00A86922"/>
    <w:rsid w:val="00A873DE"/>
    <w:rsid w:val="00A87798"/>
    <w:rsid w:val="00A87844"/>
    <w:rsid w:val="00A87ED0"/>
    <w:rsid w:val="00AA038C"/>
    <w:rsid w:val="00AA3705"/>
    <w:rsid w:val="00AA7A09"/>
    <w:rsid w:val="00AB3095"/>
    <w:rsid w:val="00AB3235"/>
    <w:rsid w:val="00AB3B50"/>
    <w:rsid w:val="00AB5E69"/>
    <w:rsid w:val="00AB78F9"/>
    <w:rsid w:val="00AC05B1"/>
    <w:rsid w:val="00AC08AB"/>
    <w:rsid w:val="00AC5220"/>
    <w:rsid w:val="00AC63DF"/>
    <w:rsid w:val="00AD356C"/>
    <w:rsid w:val="00AD5177"/>
    <w:rsid w:val="00AD7634"/>
    <w:rsid w:val="00AD7D5B"/>
    <w:rsid w:val="00AE0EE4"/>
    <w:rsid w:val="00AE1F9B"/>
    <w:rsid w:val="00AE2914"/>
    <w:rsid w:val="00AE375D"/>
    <w:rsid w:val="00AE4FD7"/>
    <w:rsid w:val="00AE6D15"/>
    <w:rsid w:val="00AF28B2"/>
    <w:rsid w:val="00B00E13"/>
    <w:rsid w:val="00B017DA"/>
    <w:rsid w:val="00B02CB7"/>
    <w:rsid w:val="00B04182"/>
    <w:rsid w:val="00B05887"/>
    <w:rsid w:val="00B07AE3"/>
    <w:rsid w:val="00B07CCD"/>
    <w:rsid w:val="00B11430"/>
    <w:rsid w:val="00B11D69"/>
    <w:rsid w:val="00B23A84"/>
    <w:rsid w:val="00B242BD"/>
    <w:rsid w:val="00B26FAF"/>
    <w:rsid w:val="00B353EB"/>
    <w:rsid w:val="00B3550C"/>
    <w:rsid w:val="00B435AA"/>
    <w:rsid w:val="00B439C4"/>
    <w:rsid w:val="00B4535E"/>
    <w:rsid w:val="00B52554"/>
    <w:rsid w:val="00B52A8C"/>
    <w:rsid w:val="00B57EF4"/>
    <w:rsid w:val="00B60B5F"/>
    <w:rsid w:val="00B61351"/>
    <w:rsid w:val="00B61764"/>
    <w:rsid w:val="00B636A8"/>
    <w:rsid w:val="00B665C6"/>
    <w:rsid w:val="00B71E88"/>
    <w:rsid w:val="00B805AF"/>
    <w:rsid w:val="00B869EC"/>
    <w:rsid w:val="00B86DC7"/>
    <w:rsid w:val="00B93704"/>
    <w:rsid w:val="00B9397A"/>
    <w:rsid w:val="00B9633D"/>
    <w:rsid w:val="00BA0447"/>
    <w:rsid w:val="00BA0B75"/>
    <w:rsid w:val="00BA2EBE"/>
    <w:rsid w:val="00BA6D23"/>
    <w:rsid w:val="00BB0E1E"/>
    <w:rsid w:val="00BB0F28"/>
    <w:rsid w:val="00BB2F33"/>
    <w:rsid w:val="00BB458A"/>
    <w:rsid w:val="00BC6A9F"/>
    <w:rsid w:val="00BD00D3"/>
    <w:rsid w:val="00BD1659"/>
    <w:rsid w:val="00BD3AA9"/>
    <w:rsid w:val="00BD4A18"/>
    <w:rsid w:val="00BD5ABE"/>
    <w:rsid w:val="00BD69A8"/>
    <w:rsid w:val="00BD6DB2"/>
    <w:rsid w:val="00BE11CF"/>
    <w:rsid w:val="00BE21AB"/>
    <w:rsid w:val="00BE55CB"/>
    <w:rsid w:val="00BF617A"/>
    <w:rsid w:val="00BF6FCE"/>
    <w:rsid w:val="00C0379D"/>
    <w:rsid w:val="00C038E9"/>
    <w:rsid w:val="00C03931"/>
    <w:rsid w:val="00C04233"/>
    <w:rsid w:val="00C04D89"/>
    <w:rsid w:val="00C05A76"/>
    <w:rsid w:val="00C05FE3"/>
    <w:rsid w:val="00C0714D"/>
    <w:rsid w:val="00C147B1"/>
    <w:rsid w:val="00C153C6"/>
    <w:rsid w:val="00C2136D"/>
    <w:rsid w:val="00C214EE"/>
    <w:rsid w:val="00C2314B"/>
    <w:rsid w:val="00C24971"/>
    <w:rsid w:val="00C26BE5"/>
    <w:rsid w:val="00C26E4D"/>
    <w:rsid w:val="00C27357"/>
    <w:rsid w:val="00C27909"/>
    <w:rsid w:val="00C27B03"/>
    <w:rsid w:val="00C3076F"/>
    <w:rsid w:val="00C30D69"/>
    <w:rsid w:val="00C314E1"/>
    <w:rsid w:val="00C3173E"/>
    <w:rsid w:val="00C34397"/>
    <w:rsid w:val="00C34927"/>
    <w:rsid w:val="00C34E41"/>
    <w:rsid w:val="00C361CD"/>
    <w:rsid w:val="00C3788B"/>
    <w:rsid w:val="00C4095D"/>
    <w:rsid w:val="00C447C4"/>
    <w:rsid w:val="00C4529D"/>
    <w:rsid w:val="00C47D1A"/>
    <w:rsid w:val="00C601D2"/>
    <w:rsid w:val="00C65BCC"/>
    <w:rsid w:val="00C65FBC"/>
    <w:rsid w:val="00C66970"/>
    <w:rsid w:val="00C732CC"/>
    <w:rsid w:val="00C74886"/>
    <w:rsid w:val="00C8340D"/>
    <w:rsid w:val="00C85A67"/>
    <w:rsid w:val="00C8691C"/>
    <w:rsid w:val="00C8772C"/>
    <w:rsid w:val="00C97F28"/>
    <w:rsid w:val="00CA0C6E"/>
    <w:rsid w:val="00CA15B9"/>
    <w:rsid w:val="00CA168A"/>
    <w:rsid w:val="00CA3025"/>
    <w:rsid w:val="00CA357E"/>
    <w:rsid w:val="00CA44F9"/>
    <w:rsid w:val="00CA49C9"/>
    <w:rsid w:val="00CA4A69"/>
    <w:rsid w:val="00CB2D56"/>
    <w:rsid w:val="00CB6799"/>
    <w:rsid w:val="00CB6968"/>
    <w:rsid w:val="00CB6E9C"/>
    <w:rsid w:val="00CC3E0C"/>
    <w:rsid w:val="00CC4599"/>
    <w:rsid w:val="00CC56E2"/>
    <w:rsid w:val="00CC58D3"/>
    <w:rsid w:val="00CC6BC3"/>
    <w:rsid w:val="00CC784D"/>
    <w:rsid w:val="00CD11F7"/>
    <w:rsid w:val="00CE095F"/>
    <w:rsid w:val="00CE2DDE"/>
    <w:rsid w:val="00CE50BB"/>
    <w:rsid w:val="00CE5BF1"/>
    <w:rsid w:val="00CE7211"/>
    <w:rsid w:val="00CF2C7A"/>
    <w:rsid w:val="00CF425A"/>
    <w:rsid w:val="00CF4B8D"/>
    <w:rsid w:val="00CF50A6"/>
    <w:rsid w:val="00CF5580"/>
    <w:rsid w:val="00D00C42"/>
    <w:rsid w:val="00D01A9E"/>
    <w:rsid w:val="00D02467"/>
    <w:rsid w:val="00D0337B"/>
    <w:rsid w:val="00D04DD5"/>
    <w:rsid w:val="00D079B2"/>
    <w:rsid w:val="00D114E9"/>
    <w:rsid w:val="00D116CD"/>
    <w:rsid w:val="00D17A82"/>
    <w:rsid w:val="00D258AB"/>
    <w:rsid w:val="00D30301"/>
    <w:rsid w:val="00D324D3"/>
    <w:rsid w:val="00D362A9"/>
    <w:rsid w:val="00D42827"/>
    <w:rsid w:val="00D429C6"/>
    <w:rsid w:val="00D47748"/>
    <w:rsid w:val="00D54CC3"/>
    <w:rsid w:val="00D57710"/>
    <w:rsid w:val="00D603DE"/>
    <w:rsid w:val="00D6041A"/>
    <w:rsid w:val="00D62B03"/>
    <w:rsid w:val="00D633EB"/>
    <w:rsid w:val="00D650D8"/>
    <w:rsid w:val="00D66B2B"/>
    <w:rsid w:val="00D81822"/>
    <w:rsid w:val="00D82FF7"/>
    <w:rsid w:val="00D847FE"/>
    <w:rsid w:val="00D87922"/>
    <w:rsid w:val="00D9055F"/>
    <w:rsid w:val="00D9070D"/>
    <w:rsid w:val="00D9262C"/>
    <w:rsid w:val="00D9303B"/>
    <w:rsid w:val="00D964EA"/>
    <w:rsid w:val="00D966D0"/>
    <w:rsid w:val="00DA0C59"/>
    <w:rsid w:val="00DA3991"/>
    <w:rsid w:val="00DA40E3"/>
    <w:rsid w:val="00DA79E0"/>
    <w:rsid w:val="00DB0990"/>
    <w:rsid w:val="00DB2C4C"/>
    <w:rsid w:val="00DB7A00"/>
    <w:rsid w:val="00DB7E6C"/>
    <w:rsid w:val="00DC296C"/>
    <w:rsid w:val="00DD17E6"/>
    <w:rsid w:val="00DD4A93"/>
    <w:rsid w:val="00DD4DEA"/>
    <w:rsid w:val="00DD5A29"/>
    <w:rsid w:val="00DD5D9D"/>
    <w:rsid w:val="00DD6CAC"/>
    <w:rsid w:val="00DD7BD3"/>
    <w:rsid w:val="00DE35CB"/>
    <w:rsid w:val="00DF19EC"/>
    <w:rsid w:val="00DF21E9"/>
    <w:rsid w:val="00E0018E"/>
    <w:rsid w:val="00E00F14"/>
    <w:rsid w:val="00E0104C"/>
    <w:rsid w:val="00E01E5D"/>
    <w:rsid w:val="00E01FFC"/>
    <w:rsid w:val="00E0302E"/>
    <w:rsid w:val="00E06386"/>
    <w:rsid w:val="00E117D0"/>
    <w:rsid w:val="00E15072"/>
    <w:rsid w:val="00E214BC"/>
    <w:rsid w:val="00E24B93"/>
    <w:rsid w:val="00E24EB4"/>
    <w:rsid w:val="00E26AB3"/>
    <w:rsid w:val="00E320ED"/>
    <w:rsid w:val="00E32C33"/>
    <w:rsid w:val="00E33AFB"/>
    <w:rsid w:val="00E34218"/>
    <w:rsid w:val="00E36530"/>
    <w:rsid w:val="00E44E1F"/>
    <w:rsid w:val="00E46282"/>
    <w:rsid w:val="00E5216E"/>
    <w:rsid w:val="00E67142"/>
    <w:rsid w:val="00E7378A"/>
    <w:rsid w:val="00E73E16"/>
    <w:rsid w:val="00E7509E"/>
    <w:rsid w:val="00E807F5"/>
    <w:rsid w:val="00E81D77"/>
    <w:rsid w:val="00E82344"/>
    <w:rsid w:val="00E84C82"/>
    <w:rsid w:val="00E84D64"/>
    <w:rsid w:val="00E86E3C"/>
    <w:rsid w:val="00E87408"/>
    <w:rsid w:val="00E914C4"/>
    <w:rsid w:val="00E934F5"/>
    <w:rsid w:val="00E95524"/>
    <w:rsid w:val="00E96961"/>
    <w:rsid w:val="00E978C6"/>
    <w:rsid w:val="00EA3C1C"/>
    <w:rsid w:val="00EA72EC"/>
    <w:rsid w:val="00EB11CB"/>
    <w:rsid w:val="00EB275A"/>
    <w:rsid w:val="00EB29A1"/>
    <w:rsid w:val="00EB468B"/>
    <w:rsid w:val="00EB6345"/>
    <w:rsid w:val="00EB786A"/>
    <w:rsid w:val="00EC1578"/>
    <w:rsid w:val="00EC1C72"/>
    <w:rsid w:val="00EC385A"/>
    <w:rsid w:val="00EC3CC9"/>
    <w:rsid w:val="00EC6047"/>
    <w:rsid w:val="00EC680A"/>
    <w:rsid w:val="00ED14EF"/>
    <w:rsid w:val="00ED35D0"/>
    <w:rsid w:val="00ED532B"/>
    <w:rsid w:val="00ED7999"/>
    <w:rsid w:val="00EE2BED"/>
    <w:rsid w:val="00EE374B"/>
    <w:rsid w:val="00EE430A"/>
    <w:rsid w:val="00EE62B1"/>
    <w:rsid w:val="00EE7AF7"/>
    <w:rsid w:val="00EF1500"/>
    <w:rsid w:val="00EF508D"/>
    <w:rsid w:val="00EF76AB"/>
    <w:rsid w:val="00F04D4C"/>
    <w:rsid w:val="00F11BB5"/>
    <w:rsid w:val="00F12B73"/>
    <w:rsid w:val="00F1417B"/>
    <w:rsid w:val="00F2605B"/>
    <w:rsid w:val="00F327DD"/>
    <w:rsid w:val="00F328CE"/>
    <w:rsid w:val="00F34311"/>
    <w:rsid w:val="00F34B99"/>
    <w:rsid w:val="00F363DC"/>
    <w:rsid w:val="00F40985"/>
    <w:rsid w:val="00F42F3E"/>
    <w:rsid w:val="00F44DB6"/>
    <w:rsid w:val="00F47529"/>
    <w:rsid w:val="00F512B5"/>
    <w:rsid w:val="00F51DFB"/>
    <w:rsid w:val="00F52D73"/>
    <w:rsid w:val="00F52DAB"/>
    <w:rsid w:val="00F5325B"/>
    <w:rsid w:val="00F543F0"/>
    <w:rsid w:val="00F60887"/>
    <w:rsid w:val="00F61A57"/>
    <w:rsid w:val="00F63464"/>
    <w:rsid w:val="00F63DB1"/>
    <w:rsid w:val="00F72932"/>
    <w:rsid w:val="00F74DC5"/>
    <w:rsid w:val="00F77003"/>
    <w:rsid w:val="00F77DB4"/>
    <w:rsid w:val="00F81675"/>
    <w:rsid w:val="00F81D29"/>
    <w:rsid w:val="00F84A0E"/>
    <w:rsid w:val="00F85769"/>
    <w:rsid w:val="00F8694B"/>
    <w:rsid w:val="00F86CA1"/>
    <w:rsid w:val="00F91C4D"/>
    <w:rsid w:val="00F91F6B"/>
    <w:rsid w:val="00F92FD9"/>
    <w:rsid w:val="00FA190C"/>
    <w:rsid w:val="00FA2BE5"/>
    <w:rsid w:val="00FA46F4"/>
    <w:rsid w:val="00FA489D"/>
    <w:rsid w:val="00FA6684"/>
    <w:rsid w:val="00FA731E"/>
    <w:rsid w:val="00FB0F2B"/>
    <w:rsid w:val="00FB2B38"/>
    <w:rsid w:val="00FC6358"/>
    <w:rsid w:val="00FD01CF"/>
    <w:rsid w:val="00FD229E"/>
    <w:rsid w:val="00FD320D"/>
    <w:rsid w:val="00FD6DDF"/>
    <w:rsid w:val="00FE1C50"/>
    <w:rsid w:val="00FE23DE"/>
    <w:rsid w:val="00FE7FBA"/>
    <w:rsid w:val="00FF04A9"/>
    <w:rsid w:val="06BB0062"/>
    <w:rsid w:val="0853642E"/>
    <w:rsid w:val="133018B0"/>
    <w:rsid w:val="18CF4139"/>
    <w:rsid w:val="241F210C"/>
    <w:rsid w:val="2DAD23E3"/>
    <w:rsid w:val="2EA8435B"/>
    <w:rsid w:val="32882850"/>
    <w:rsid w:val="33251C93"/>
    <w:rsid w:val="4519103E"/>
    <w:rsid w:val="4590011C"/>
    <w:rsid w:val="46310FC9"/>
    <w:rsid w:val="52331739"/>
    <w:rsid w:val="555B416B"/>
    <w:rsid w:val="71965D9A"/>
    <w:rsid w:val="795A1744"/>
    <w:rsid w:val="7AC612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uiPriority="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4"/>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41"/>
    <w:autoRedefine/>
    <w:unhideWhenUsed/>
    <w:qFormat/>
    <w:uiPriority w:val="9"/>
    <w:pPr>
      <w:keepNext/>
      <w:keepLines/>
      <w:spacing w:before="260" w:after="260" w:line="416" w:lineRule="auto"/>
      <w:outlineLvl w:val="1"/>
    </w:pPr>
    <w:rPr>
      <w:rFonts w:ascii="Cambria" w:hAnsi="Cambria"/>
      <w:b/>
      <w:bCs/>
      <w:sz w:val="32"/>
      <w:szCs w:val="32"/>
      <w:lang w:val="zh-CN"/>
    </w:rPr>
  </w:style>
  <w:style w:type="paragraph" w:styleId="6">
    <w:name w:val="heading 3"/>
    <w:basedOn w:val="1"/>
    <w:next w:val="1"/>
    <w:link w:val="142"/>
    <w:autoRedefine/>
    <w:unhideWhenUsed/>
    <w:qFormat/>
    <w:uiPriority w:val="9"/>
    <w:pPr>
      <w:keepNext/>
      <w:keepLines/>
      <w:spacing w:before="260" w:after="260" w:line="416" w:lineRule="auto"/>
      <w:outlineLvl w:val="2"/>
    </w:pPr>
    <w:rPr>
      <w:rFonts w:ascii="Calibri" w:hAnsi="Calibri"/>
      <w:b/>
      <w:bCs/>
      <w:sz w:val="32"/>
      <w:szCs w:val="32"/>
      <w:lang w:val="zh-CN"/>
    </w:rPr>
  </w:style>
  <w:style w:type="character" w:default="1" w:styleId="37">
    <w:name w:val="Default Paragraph Font"/>
    <w:semiHidden/>
    <w:unhideWhenUsed/>
    <w:qFormat/>
    <w:uiPriority w:val="1"/>
  </w:style>
  <w:style w:type="table" w:default="1" w:styleId="3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link w:val="155"/>
    <w:autoRedefine/>
    <w:semiHidden/>
    <w:unhideWhenUsed/>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Calibri" w:hAnsi="Calibri" w:eastAsia="宋体" w:cs="Times New Roman"/>
      <w:kern w:val="2"/>
      <w:sz w:val="21"/>
      <w:szCs w:val="24"/>
      <w:lang w:val="en-US" w:eastAsia="zh-CN" w:bidi="ar"/>
    </w:rPr>
  </w:style>
  <w:style w:type="paragraph" w:styleId="3">
    <w:name w:val="Body Text Indent"/>
    <w:basedOn w:val="1"/>
    <w:next w:val="1"/>
    <w:link w:val="154"/>
    <w:autoRedefine/>
    <w:semiHidden/>
    <w:unhideWhenUsed/>
    <w:qFormat/>
    <w:uiPriority w:val="0"/>
    <w:pPr>
      <w:spacing w:after="120" w:afterLines="0" w:afterAutospacing="0"/>
      <w:ind w:left="420" w:leftChars="200"/>
    </w:pPr>
  </w:style>
  <w:style w:type="paragraph" w:styleId="7">
    <w:name w:val="toc 7"/>
    <w:basedOn w:val="1"/>
    <w:next w:val="1"/>
    <w:semiHidden/>
    <w:qFormat/>
    <w:uiPriority w:val="0"/>
    <w:pPr>
      <w:tabs>
        <w:tab w:val="right" w:leader="dot" w:pos="9241"/>
      </w:tabs>
      <w:ind w:firstLine="500" w:firstLineChars="500"/>
      <w:jc w:val="left"/>
    </w:pPr>
    <w:rPr>
      <w:rFonts w:ascii="宋体"/>
      <w:szCs w:val="21"/>
    </w:rPr>
  </w:style>
  <w:style w:type="paragraph" w:styleId="8">
    <w:name w:val="index 8"/>
    <w:basedOn w:val="1"/>
    <w:next w:val="1"/>
    <w:autoRedefine/>
    <w:qFormat/>
    <w:uiPriority w:val="0"/>
    <w:pPr>
      <w:ind w:left="1680" w:hanging="210"/>
      <w:jc w:val="left"/>
    </w:pPr>
    <w:rPr>
      <w:rFonts w:ascii="Calibri" w:hAnsi="Calibri"/>
      <w:sz w:val="20"/>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index 5"/>
    <w:basedOn w:val="1"/>
    <w:next w:val="1"/>
    <w:qFormat/>
    <w:uiPriority w:val="0"/>
    <w:pPr>
      <w:ind w:left="1050" w:hanging="210"/>
      <w:jc w:val="left"/>
    </w:pPr>
    <w:rPr>
      <w:rFonts w:ascii="Calibri" w:hAnsi="Calibri"/>
      <w:sz w:val="20"/>
      <w:szCs w:val="20"/>
    </w:rPr>
  </w:style>
  <w:style w:type="paragraph" w:styleId="11">
    <w:name w:val="Document Map"/>
    <w:basedOn w:val="1"/>
    <w:semiHidden/>
    <w:qFormat/>
    <w:uiPriority w:val="0"/>
    <w:pPr>
      <w:shd w:val="clear" w:color="auto" w:fill="000080"/>
    </w:pPr>
  </w:style>
  <w:style w:type="paragraph" w:styleId="12">
    <w:name w:val="index 6"/>
    <w:basedOn w:val="1"/>
    <w:next w:val="1"/>
    <w:qFormat/>
    <w:uiPriority w:val="0"/>
    <w:pPr>
      <w:ind w:left="1260" w:hanging="210"/>
      <w:jc w:val="left"/>
    </w:pPr>
    <w:rPr>
      <w:rFonts w:ascii="Calibri" w:hAnsi="Calibri"/>
      <w:sz w:val="20"/>
      <w:szCs w:val="20"/>
    </w:rPr>
  </w:style>
  <w:style w:type="paragraph" w:styleId="13">
    <w:name w:val="index 4"/>
    <w:basedOn w:val="1"/>
    <w:next w:val="1"/>
    <w:autoRedefine/>
    <w:qFormat/>
    <w:uiPriority w:val="0"/>
    <w:pPr>
      <w:ind w:left="840" w:hanging="210"/>
      <w:jc w:val="left"/>
    </w:pPr>
    <w:rPr>
      <w:rFonts w:ascii="Calibri" w:hAnsi="Calibri"/>
      <w:sz w:val="20"/>
      <w:szCs w:val="20"/>
    </w:rPr>
  </w:style>
  <w:style w:type="paragraph" w:styleId="14">
    <w:name w:val="toc 5"/>
    <w:basedOn w:val="1"/>
    <w:next w:val="1"/>
    <w:autoRedefine/>
    <w:semiHidden/>
    <w:qFormat/>
    <w:uiPriority w:val="0"/>
    <w:pPr>
      <w:tabs>
        <w:tab w:val="right" w:leader="dot" w:pos="9241"/>
      </w:tabs>
      <w:ind w:firstLine="300" w:firstLineChars="300"/>
      <w:jc w:val="left"/>
    </w:pPr>
    <w:rPr>
      <w:rFonts w:ascii="宋体"/>
      <w:szCs w:val="21"/>
    </w:rPr>
  </w:style>
  <w:style w:type="paragraph" w:styleId="15">
    <w:name w:val="toc 3"/>
    <w:basedOn w:val="1"/>
    <w:next w:val="1"/>
    <w:qFormat/>
    <w:uiPriority w:val="39"/>
    <w:pPr>
      <w:tabs>
        <w:tab w:val="right" w:leader="dot" w:pos="9241"/>
      </w:tabs>
      <w:ind w:firstLine="100" w:firstLineChars="100"/>
      <w:jc w:val="left"/>
    </w:pPr>
    <w:rPr>
      <w:rFonts w:ascii="宋体"/>
      <w:szCs w:val="21"/>
    </w:rPr>
  </w:style>
  <w:style w:type="paragraph" w:styleId="16">
    <w:name w:val="toc 8"/>
    <w:basedOn w:val="1"/>
    <w:next w:val="1"/>
    <w:semiHidden/>
    <w:qFormat/>
    <w:uiPriority w:val="0"/>
    <w:pPr>
      <w:tabs>
        <w:tab w:val="right" w:leader="dot" w:pos="9241"/>
      </w:tabs>
      <w:ind w:firstLine="607" w:firstLineChars="600"/>
      <w:jc w:val="left"/>
    </w:pPr>
    <w:rPr>
      <w:rFonts w:ascii="宋体"/>
      <w:szCs w:val="21"/>
    </w:rPr>
  </w:style>
  <w:style w:type="paragraph" w:styleId="17">
    <w:name w:val="index 3"/>
    <w:basedOn w:val="1"/>
    <w:next w:val="1"/>
    <w:qFormat/>
    <w:uiPriority w:val="0"/>
    <w:pPr>
      <w:ind w:left="630" w:hanging="210"/>
      <w:jc w:val="left"/>
    </w:pPr>
    <w:rPr>
      <w:rFonts w:ascii="Calibri" w:hAnsi="Calibri"/>
      <w:sz w:val="20"/>
      <w:szCs w:val="20"/>
    </w:rPr>
  </w:style>
  <w:style w:type="paragraph" w:styleId="18">
    <w:name w:val="endnote text"/>
    <w:basedOn w:val="1"/>
    <w:semiHidden/>
    <w:qFormat/>
    <w:uiPriority w:val="0"/>
    <w:pPr>
      <w:snapToGrid w:val="0"/>
      <w:jc w:val="left"/>
    </w:pPr>
  </w:style>
  <w:style w:type="paragraph" w:styleId="19">
    <w:name w:val="Balloon Text"/>
    <w:basedOn w:val="1"/>
    <w:link w:val="143"/>
    <w:qFormat/>
    <w:uiPriority w:val="0"/>
    <w:rPr>
      <w:sz w:val="18"/>
      <w:szCs w:val="18"/>
    </w:rPr>
  </w:style>
  <w:style w:type="paragraph" w:styleId="20">
    <w:name w:val="footer"/>
    <w:basedOn w:val="1"/>
    <w:link w:val="156"/>
    <w:qFormat/>
    <w:uiPriority w:val="0"/>
    <w:pPr>
      <w:snapToGrid w:val="0"/>
      <w:ind w:right="210" w:rightChars="100"/>
      <w:jc w:val="right"/>
    </w:pPr>
    <w:rPr>
      <w:sz w:val="18"/>
      <w:szCs w:val="18"/>
    </w:rPr>
  </w:style>
  <w:style w:type="paragraph" w:styleId="21">
    <w:name w:val="header"/>
    <w:basedOn w:val="1"/>
    <w:qFormat/>
    <w:uiPriority w:val="0"/>
    <w:pPr>
      <w:snapToGrid w:val="0"/>
      <w:jc w:val="left"/>
    </w:pPr>
    <w:rPr>
      <w:sz w:val="18"/>
      <w:szCs w:val="18"/>
    </w:rPr>
  </w:style>
  <w:style w:type="paragraph" w:styleId="22">
    <w:name w:val="toc 1"/>
    <w:basedOn w:val="1"/>
    <w:next w:val="1"/>
    <w:autoRedefine/>
    <w:qFormat/>
    <w:uiPriority w:val="39"/>
    <w:pPr>
      <w:tabs>
        <w:tab w:val="right" w:leader="dot" w:pos="9242"/>
      </w:tabs>
      <w:spacing w:beforeLines="25" w:afterLines="25"/>
      <w:jc w:val="left"/>
    </w:pPr>
    <w:rPr>
      <w:rFonts w:ascii="宋体"/>
      <w:szCs w:val="21"/>
    </w:rPr>
  </w:style>
  <w:style w:type="paragraph" w:styleId="23">
    <w:name w:val="toc 4"/>
    <w:basedOn w:val="1"/>
    <w:next w:val="1"/>
    <w:autoRedefine/>
    <w:semiHidden/>
    <w:qFormat/>
    <w:uiPriority w:val="0"/>
    <w:pPr>
      <w:tabs>
        <w:tab w:val="right" w:leader="dot" w:pos="9241"/>
      </w:tabs>
      <w:ind w:firstLine="200" w:firstLineChars="200"/>
      <w:jc w:val="left"/>
    </w:pPr>
    <w:rPr>
      <w:rFonts w:ascii="宋体"/>
      <w:szCs w:val="21"/>
    </w:rPr>
  </w:style>
  <w:style w:type="paragraph" w:styleId="24">
    <w:name w:val="index heading"/>
    <w:basedOn w:val="1"/>
    <w:next w:val="25"/>
    <w:qFormat/>
    <w:uiPriority w:val="0"/>
    <w:pPr>
      <w:spacing w:before="120" w:after="120"/>
      <w:jc w:val="center"/>
    </w:pPr>
    <w:rPr>
      <w:rFonts w:ascii="Calibri" w:hAnsi="Calibri"/>
      <w:b/>
      <w:bCs/>
      <w:iCs/>
      <w:szCs w:val="20"/>
    </w:rPr>
  </w:style>
  <w:style w:type="paragraph" w:styleId="25">
    <w:name w:val="index 1"/>
    <w:basedOn w:val="1"/>
    <w:next w:val="26"/>
    <w:autoRedefine/>
    <w:qFormat/>
    <w:uiPriority w:val="0"/>
    <w:pPr>
      <w:tabs>
        <w:tab w:val="right" w:leader="dot" w:pos="9299"/>
      </w:tabs>
      <w:jc w:val="left"/>
    </w:pPr>
    <w:rPr>
      <w:rFonts w:ascii="宋体"/>
      <w:szCs w:val="21"/>
    </w:rPr>
  </w:style>
  <w:style w:type="paragraph" w:customStyle="1" w:styleId="26">
    <w:name w:val="段"/>
    <w:link w:val="4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7">
    <w:name w:val="footnote text"/>
    <w:basedOn w:val="1"/>
    <w:autoRedefine/>
    <w:qFormat/>
    <w:uiPriority w:val="0"/>
    <w:pPr>
      <w:numPr>
        <w:ilvl w:val="0"/>
        <w:numId w:val="1"/>
      </w:numPr>
      <w:snapToGrid w:val="0"/>
      <w:jc w:val="left"/>
    </w:pPr>
    <w:rPr>
      <w:rFonts w:ascii="宋体"/>
      <w:sz w:val="18"/>
      <w:szCs w:val="18"/>
    </w:rPr>
  </w:style>
  <w:style w:type="paragraph" w:styleId="28">
    <w:name w:val="toc 6"/>
    <w:basedOn w:val="1"/>
    <w:next w:val="1"/>
    <w:semiHidden/>
    <w:qFormat/>
    <w:uiPriority w:val="0"/>
    <w:pPr>
      <w:tabs>
        <w:tab w:val="right" w:leader="dot" w:pos="9241"/>
      </w:tabs>
      <w:ind w:firstLine="400" w:firstLineChars="400"/>
      <w:jc w:val="left"/>
    </w:pPr>
    <w:rPr>
      <w:rFonts w:ascii="宋体"/>
      <w:szCs w:val="21"/>
    </w:rPr>
  </w:style>
  <w:style w:type="paragraph" w:styleId="29">
    <w:name w:val="index 7"/>
    <w:basedOn w:val="1"/>
    <w:next w:val="1"/>
    <w:autoRedefine/>
    <w:qFormat/>
    <w:uiPriority w:val="0"/>
    <w:pPr>
      <w:ind w:left="1470" w:hanging="210"/>
      <w:jc w:val="left"/>
    </w:pPr>
    <w:rPr>
      <w:rFonts w:ascii="Calibri" w:hAnsi="Calibri"/>
      <w:sz w:val="20"/>
      <w:szCs w:val="20"/>
    </w:rPr>
  </w:style>
  <w:style w:type="paragraph" w:styleId="30">
    <w:name w:val="index 9"/>
    <w:basedOn w:val="1"/>
    <w:next w:val="1"/>
    <w:autoRedefine/>
    <w:qFormat/>
    <w:uiPriority w:val="0"/>
    <w:pPr>
      <w:ind w:left="1890" w:hanging="210"/>
      <w:jc w:val="left"/>
    </w:pPr>
    <w:rPr>
      <w:rFonts w:ascii="Calibri" w:hAnsi="Calibri"/>
      <w:sz w:val="20"/>
      <w:szCs w:val="20"/>
    </w:rPr>
  </w:style>
  <w:style w:type="paragraph" w:styleId="31">
    <w:name w:val="toc 2"/>
    <w:basedOn w:val="1"/>
    <w:next w:val="1"/>
    <w:autoRedefine/>
    <w:qFormat/>
    <w:uiPriority w:val="39"/>
    <w:pPr>
      <w:tabs>
        <w:tab w:val="right" w:leader="dot" w:pos="9242"/>
      </w:tabs>
      <w:ind w:left="100" w:leftChars="100"/>
    </w:pPr>
    <w:rPr>
      <w:rFonts w:ascii="宋体"/>
      <w:szCs w:val="21"/>
    </w:rPr>
  </w:style>
  <w:style w:type="paragraph" w:styleId="32">
    <w:name w:val="toc 9"/>
    <w:basedOn w:val="1"/>
    <w:next w:val="1"/>
    <w:autoRedefine/>
    <w:semiHidden/>
    <w:qFormat/>
    <w:uiPriority w:val="0"/>
    <w:pPr>
      <w:ind w:left="1470"/>
      <w:jc w:val="left"/>
    </w:pPr>
    <w:rPr>
      <w:sz w:val="20"/>
      <w:szCs w:val="20"/>
    </w:rPr>
  </w:style>
  <w:style w:type="paragraph" w:styleId="33">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4">
    <w:name w:val="index 2"/>
    <w:basedOn w:val="1"/>
    <w:next w:val="1"/>
    <w:autoRedefine/>
    <w:qFormat/>
    <w:uiPriority w:val="0"/>
    <w:pPr>
      <w:ind w:left="420" w:hanging="210"/>
      <w:jc w:val="left"/>
    </w:pPr>
    <w:rPr>
      <w:rFonts w:ascii="Calibri" w:hAnsi="Calibri"/>
      <w:sz w:val="20"/>
      <w:szCs w:val="20"/>
    </w:rPr>
  </w:style>
  <w:style w:type="table" w:styleId="36">
    <w:name w:val="Table Grid"/>
    <w:basedOn w:val="35"/>
    <w:autoRedefine/>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Strong"/>
    <w:qFormat/>
    <w:uiPriority w:val="22"/>
    <w:rPr>
      <w:b/>
      <w:bCs/>
    </w:rPr>
  </w:style>
  <w:style w:type="character" w:styleId="39">
    <w:name w:val="endnote reference"/>
    <w:semiHidden/>
    <w:qFormat/>
    <w:uiPriority w:val="0"/>
    <w:rPr>
      <w:vertAlign w:val="superscript"/>
    </w:rPr>
  </w:style>
  <w:style w:type="character" w:styleId="40">
    <w:name w:val="page number"/>
    <w:qFormat/>
    <w:uiPriority w:val="0"/>
    <w:rPr>
      <w:rFonts w:ascii="Times New Roman" w:hAnsi="Times New Roman" w:eastAsia="宋体"/>
      <w:sz w:val="18"/>
    </w:rPr>
  </w:style>
  <w:style w:type="character" w:styleId="41">
    <w:name w:val="Hyperlink"/>
    <w:qFormat/>
    <w:uiPriority w:val="99"/>
    <w:rPr>
      <w:color w:val="0000FF"/>
      <w:spacing w:val="0"/>
      <w:w w:val="100"/>
      <w:szCs w:val="21"/>
      <w:u w:val="single"/>
    </w:rPr>
  </w:style>
  <w:style w:type="character" w:styleId="42">
    <w:name w:val="footnote reference"/>
    <w:semiHidden/>
    <w:qFormat/>
    <w:uiPriority w:val="0"/>
    <w:rPr>
      <w:vertAlign w:val="superscript"/>
    </w:rPr>
  </w:style>
  <w:style w:type="character" w:customStyle="1" w:styleId="43">
    <w:name w:val="段 Char"/>
    <w:link w:val="26"/>
    <w:qFormat/>
    <w:uiPriority w:val="0"/>
    <w:rPr>
      <w:rFonts w:ascii="宋体"/>
      <w:sz w:val="21"/>
      <w:lang w:val="en-US" w:eastAsia="zh-CN" w:bidi="ar-SA"/>
    </w:rPr>
  </w:style>
  <w:style w:type="paragraph" w:customStyle="1" w:styleId="44">
    <w:name w:val="一级条标题"/>
    <w:next w:val="26"/>
    <w:qFormat/>
    <w:uiPriority w:val="0"/>
    <w:pPr>
      <w:numPr>
        <w:ilvl w:val="1"/>
        <w:numId w:val="2"/>
      </w:numPr>
      <w:spacing w:before="50" w:beforeLines="50" w:after="50" w:afterLines="50"/>
      <w:outlineLvl w:val="2"/>
    </w:pPr>
    <w:rPr>
      <w:rFonts w:ascii="黑体" w:hAnsi="Times New Roman" w:eastAsia="黑体" w:cs="Times New Roman"/>
      <w:sz w:val="21"/>
      <w:szCs w:val="21"/>
      <w:lang w:val="en-US" w:eastAsia="zh-CN" w:bidi="ar-SA"/>
    </w:rPr>
  </w:style>
  <w:style w:type="paragraph" w:customStyle="1" w:styleId="45">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章标题"/>
    <w:next w:val="26"/>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8">
    <w:name w:val="二级条标题"/>
    <w:basedOn w:val="44"/>
    <w:next w:val="26"/>
    <w:qFormat/>
    <w:uiPriority w:val="0"/>
    <w:pPr>
      <w:numPr>
        <w:ilvl w:val="2"/>
      </w:numPr>
      <w:outlineLvl w:val="3"/>
    </w:pPr>
  </w:style>
  <w:style w:type="paragraph" w:customStyle="1" w:styleId="4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50">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51">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52">
    <w:name w:val="目次、标准名称标题"/>
    <w:basedOn w:val="1"/>
    <w:next w:val="26"/>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3">
    <w:name w:val="三级条标题"/>
    <w:basedOn w:val="48"/>
    <w:next w:val="26"/>
    <w:qFormat/>
    <w:uiPriority w:val="0"/>
    <w:pPr>
      <w:numPr>
        <w:ilvl w:val="3"/>
      </w:numPr>
      <w:spacing w:before="156" w:after="156"/>
      <w:outlineLvl w:val="4"/>
    </w:pPr>
    <w:rPr>
      <w:rFonts w:asciiTheme="minorEastAsia" w:hAnsiTheme="minorEastAsia"/>
    </w:rPr>
  </w:style>
  <w:style w:type="paragraph" w:customStyle="1" w:styleId="54">
    <w:name w:val="示例"/>
    <w:next w:val="55"/>
    <w:qFormat/>
    <w:uiPriority w:val="0"/>
    <w:pPr>
      <w:widowControl w:val="0"/>
      <w:numPr>
        <w:ilvl w:val="0"/>
        <w:numId w:val="4"/>
      </w:numPr>
      <w:jc w:val="both"/>
    </w:pPr>
    <w:rPr>
      <w:rFonts w:ascii="宋体" w:hAnsi="Times New Roman" w:eastAsia="宋体" w:cs="Times New Roman"/>
      <w:sz w:val="18"/>
      <w:szCs w:val="18"/>
      <w:lang w:val="en-US" w:eastAsia="zh-CN" w:bidi="ar-SA"/>
    </w:rPr>
  </w:style>
  <w:style w:type="paragraph" w:customStyle="1" w:styleId="55">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6">
    <w:name w:val="数字编号列项（二级）"/>
    <w:qFormat/>
    <w:uiPriority w:val="0"/>
    <w:pPr>
      <w:numPr>
        <w:ilvl w:val="1"/>
        <w:numId w:val="5"/>
      </w:numPr>
      <w:tabs>
        <w:tab w:val="left" w:pos="840"/>
      </w:tabs>
      <w:jc w:val="both"/>
    </w:pPr>
    <w:rPr>
      <w:rFonts w:ascii="宋体" w:hAnsi="Times New Roman" w:eastAsia="宋体" w:cs="Times New Roman"/>
      <w:sz w:val="21"/>
      <w:lang w:val="en-US" w:eastAsia="zh-CN" w:bidi="ar-SA"/>
    </w:rPr>
  </w:style>
  <w:style w:type="paragraph" w:customStyle="1" w:styleId="57">
    <w:name w:val="四级条标题"/>
    <w:basedOn w:val="53"/>
    <w:next w:val="26"/>
    <w:qFormat/>
    <w:uiPriority w:val="0"/>
    <w:pPr>
      <w:numPr>
        <w:ilvl w:val="4"/>
      </w:numPr>
      <w:outlineLvl w:val="5"/>
    </w:pPr>
  </w:style>
  <w:style w:type="paragraph" w:customStyle="1" w:styleId="58">
    <w:name w:val="五级条标题"/>
    <w:basedOn w:val="57"/>
    <w:next w:val="26"/>
    <w:qFormat/>
    <w:uiPriority w:val="0"/>
    <w:pPr>
      <w:numPr>
        <w:ilvl w:val="5"/>
      </w:numPr>
      <w:spacing w:before="50" w:after="50"/>
      <w:outlineLvl w:val="6"/>
    </w:pPr>
  </w:style>
  <w:style w:type="paragraph" w:customStyle="1" w:styleId="59">
    <w:name w:val="注："/>
    <w:next w:val="26"/>
    <w:qFormat/>
    <w:uiPriority w:val="0"/>
    <w:pPr>
      <w:widowControl w:val="0"/>
      <w:numPr>
        <w:ilvl w:val="0"/>
        <w:numId w:val="6"/>
      </w:numPr>
      <w:autoSpaceDE w:val="0"/>
      <w:autoSpaceDN w:val="0"/>
      <w:jc w:val="both"/>
    </w:pPr>
    <w:rPr>
      <w:rFonts w:ascii="宋体" w:hAnsi="Times New Roman" w:eastAsia="宋体" w:cs="Times New Roman"/>
      <w:sz w:val="18"/>
      <w:szCs w:val="18"/>
      <w:lang w:val="en-US" w:eastAsia="zh-CN" w:bidi="ar-SA"/>
    </w:rPr>
  </w:style>
  <w:style w:type="paragraph" w:customStyle="1" w:styleId="60">
    <w:name w:val="注×："/>
    <w:qFormat/>
    <w:uiPriority w:val="0"/>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61">
    <w:name w:val="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62">
    <w:name w:val="列项◆（三级）"/>
    <w:basedOn w:val="1"/>
    <w:qFormat/>
    <w:uiPriority w:val="0"/>
    <w:pPr>
      <w:numPr>
        <w:ilvl w:val="2"/>
        <w:numId w:val="3"/>
      </w:numPr>
    </w:pPr>
    <w:rPr>
      <w:rFonts w:ascii="宋体"/>
      <w:szCs w:val="21"/>
    </w:rPr>
  </w:style>
  <w:style w:type="paragraph" w:customStyle="1" w:styleId="63">
    <w:name w:val="编号列项（三级）"/>
    <w:qFormat/>
    <w:uiPriority w:val="0"/>
    <w:rPr>
      <w:rFonts w:ascii="宋体" w:hAnsi="Times New Roman" w:eastAsia="宋体" w:cs="Times New Roman"/>
      <w:sz w:val="21"/>
      <w:lang w:val="en-US" w:eastAsia="zh-CN" w:bidi="ar-SA"/>
    </w:rPr>
  </w:style>
  <w:style w:type="paragraph" w:customStyle="1" w:styleId="64">
    <w:name w:val="示例×："/>
    <w:basedOn w:val="47"/>
    <w:qFormat/>
    <w:uiPriority w:val="0"/>
    <w:pPr>
      <w:numPr>
        <w:ilvl w:val="0"/>
        <w:numId w:val="8"/>
      </w:numPr>
      <w:spacing w:before="0" w:beforeLines="0" w:after="0" w:afterLines="0"/>
      <w:outlineLvl w:val="9"/>
    </w:pPr>
    <w:rPr>
      <w:rFonts w:ascii="宋体" w:eastAsia="宋体"/>
      <w:sz w:val="18"/>
      <w:szCs w:val="18"/>
    </w:rPr>
  </w:style>
  <w:style w:type="paragraph" w:customStyle="1" w:styleId="65">
    <w:name w:val="五级无标题条"/>
    <w:basedOn w:val="58"/>
    <w:qFormat/>
    <w:uiPriority w:val="0"/>
    <w:pPr>
      <w:spacing w:before="0" w:beforeLines="0" w:after="0" w:afterLines="0"/>
    </w:pPr>
    <w:rPr>
      <w:rFonts w:eastAsiaTheme="minorEastAsia"/>
    </w:rPr>
  </w:style>
  <w:style w:type="paragraph" w:customStyle="1" w:styleId="66">
    <w:name w:val="注：（正文）"/>
    <w:basedOn w:val="59"/>
    <w:next w:val="26"/>
    <w:qFormat/>
    <w:uiPriority w:val="0"/>
    <w:pPr>
      <w:numPr>
        <w:ilvl w:val="0"/>
        <w:numId w:val="9"/>
      </w:numPr>
    </w:pPr>
  </w:style>
  <w:style w:type="paragraph" w:customStyle="1" w:styleId="67">
    <w:name w:val="注×：（正文）"/>
    <w:qFormat/>
    <w:uiPriority w:val="0"/>
    <w:pPr>
      <w:numPr>
        <w:ilvl w:val="0"/>
        <w:numId w:val="10"/>
      </w:numPr>
      <w:jc w:val="both"/>
    </w:pPr>
    <w:rPr>
      <w:rFonts w:ascii="宋体" w:hAnsi="Times New Roman" w:eastAsia="宋体" w:cs="Times New Roman"/>
      <w:sz w:val="18"/>
      <w:szCs w:val="18"/>
      <w:lang w:val="en-US" w:eastAsia="zh-CN" w:bidi="ar-SA"/>
    </w:rPr>
  </w:style>
  <w:style w:type="paragraph" w:customStyle="1" w:styleId="68">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70">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71">
    <w:name w:val="标准书眉_偶数页"/>
    <w:basedOn w:val="46"/>
    <w:next w:val="1"/>
    <w:qFormat/>
    <w:uiPriority w:val="0"/>
    <w:pPr>
      <w:jc w:val="left"/>
    </w:pPr>
  </w:style>
  <w:style w:type="paragraph" w:customStyle="1" w:styleId="72">
    <w:name w:val="标准书眉一"/>
    <w:qFormat/>
    <w:uiPriority w:val="0"/>
    <w:pPr>
      <w:jc w:val="both"/>
    </w:pPr>
    <w:rPr>
      <w:rFonts w:ascii="Times New Roman" w:hAnsi="Times New Roman" w:eastAsia="宋体" w:cs="Times New Roman"/>
      <w:lang w:val="en-US" w:eastAsia="zh-CN" w:bidi="ar-SA"/>
    </w:rPr>
  </w:style>
  <w:style w:type="paragraph" w:customStyle="1" w:styleId="73">
    <w:name w:val="参考文献"/>
    <w:basedOn w:val="1"/>
    <w:next w:val="26"/>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4">
    <w:name w:val="参考文献、索引标题"/>
    <w:basedOn w:val="1"/>
    <w:next w:val="26"/>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5">
    <w:name w:val="发布"/>
    <w:qFormat/>
    <w:uiPriority w:val="0"/>
    <w:rPr>
      <w:rFonts w:ascii="黑体" w:eastAsia="黑体"/>
      <w:spacing w:val="85"/>
      <w:w w:val="100"/>
      <w:position w:val="3"/>
      <w:sz w:val="28"/>
      <w:szCs w:val="28"/>
    </w:rPr>
  </w:style>
  <w:style w:type="paragraph" w:customStyle="1" w:styleId="76">
    <w:name w:val="发布部门"/>
    <w:next w:val="26"/>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7">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8">
    <w:name w:val="封面标准代替信息"/>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9">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0">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1">
    <w:name w:val="封面标准英文名称"/>
    <w:basedOn w:val="80"/>
    <w:uiPriority w:val="0"/>
    <w:pPr>
      <w:framePr w:wrap="around"/>
      <w:spacing w:before="370" w:line="400" w:lineRule="exact"/>
    </w:pPr>
    <w:rPr>
      <w:rFonts w:ascii="Times New Roman"/>
      <w:sz w:val="28"/>
      <w:szCs w:val="28"/>
    </w:rPr>
  </w:style>
  <w:style w:type="paragraph" w:customStyle="1" w:styleId="82">
    <w:name w:val="封面一致性程度标识"/>
    <w:basedOn w:val="81"/>
    <w:qFormat/>
    <w:uiPriority w:val="0"/>
    <w:pPr>
      <w:framePr w:wrap="around"/>
      <w:spacing w:before="440"/>
    </w:pPr>
    <w:rPr>
      <w:rFonts w:ascii="宋体" w:eastAsia="宋体"/>
    </w:rPr>
  </w:style>
  <w:style w:type="paragraph" w:customStyle="1" w:styleId="83">
    <w:name w:val="封面标准文稿类别"/>
    <w:basedOn w:val="82"/>
    <w:uiPriority w:val="0"/>
    <w:pPr>
      <w:framePr w:wrap="around"/>
      <w:spacing w:after="160" w:line="240" w:lineRule="auto"/>
    </w:pPr>
    <w:rPr>
      <w:sz w:val="24"/>
    </w:rPr>
  </w:style>
  <w:style w:type="paragraph" w:customStyle="1" w:styleId="84">
    <w:name w:val="封面标准文稿编辑信息"/>
    <w:basedOn w:val="83"/>
    <w:qFormat/>
    <w:uiPriority w:val="0"/>
    <w:pPr>
      <w:framePr w:wrap="around"/>
      <w:spacing w:before="180" w:line="180" w:lineRule="exact"/>
    </w:pPr>
    <w:rPr>
      <w:sz w:val="21"/>
    </w:rPr>
  </w:style>
  <w:style w:type="paragraph" w:customStyle="1" w:styleId="85">
    <w:name w:val="封面正文"/>
    <w:qFormat/>
    <w:uiPriority w:val="0"/>
    <w:pPr>
      <w:jc w:val="both"/>
    </w:pPr>
    <w:rPr>
      <w:rFonts w:ascii="Times New Roman" w:hAnsi="Times New Roman" w:eastAsia="宋体" w:cs="Times New Roman"/>
      <w:lang w:val="en-US" w:eastAsia="zh-CN" w:bidi="ar-SA"/>
    </w:rPr>
  </w:style>
  <w:style w:type="paragraph" w:customStyle="1" w:styleId="86">
    <w:name w:val="附录标识"/>
    <w:basedOn w:val="1"/>
    <w:next w:val="26"/>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7">
    <w:name w:val="附录标题"/>
    <w:basedOn w:val="26"/>
    <w:next w:val="26"/>
    <w:uiPriority w:val="0"/>
    <w:pPr>
      <w:ind w:firstLine="0" w:firstLineChars="0"/>
      <w:jc w:val="center"/>
    </w:pPr>
    <w:rPr>
      <w:rFonts w:ascii="黑体" w:eastAsia="黑体"/>
    </w:rPr>
  </w:style>
  <w:style w:type="paragraph" w:customStyle="1" w:styleId="88">
    <w:name w:val="附录表标号"/>
    <w:basedOn w:val="1"/>
    <w:next w:val="26"/>
    <w:qFormat/>
    <w:uiPriority w:val="0"/>
    <w:pPr>
      <w:numPr>
        <w:ilvl w:val="0"/>
        <w:numId w:val="11"/>
      </w:numPr>
      <w:spacing w:line="14" w:lineRule="exact"/>
      <w:ind w:left="811" w:hanging="448"/>
      <w:jc w:val="center"/>
      <w:outlineLvl w:val="0"/>
    </w:pPr>
    <w:rPr>
      <w:color w:val="FFFFFF"/>
    </w:rPr>
  </w:style>
  <w:style w:type="paragraph" w:customStyle="1" w:styleId="89">
    <w:name w:val="附录表标题"/>
    <w:basedOn w:val="1"/>
    <w:next w:val="26"/>
    <w:qFormat/>
    <w:uiPriority w:val="0"/>
    <w:pPr>
      <w:numPr>
        <w:ilvl w:val="1"/>
        <w:numId w:val="11"/>
      </w:numPr>
      <w:tabs>
        <w:tab w:val="left" w:pos="180"/>
      </w:tabs>
      <w:spacing w:beforeLines="50" w:afterLines="50"/>
      <w:ind w:left="0" w:firstLine="0"/>
      <w:jc w:val="center"/>
    </w:pPr>
    <w:rPr>
      <w:rFonts w:ascii="黑体" w:eastAsia="黑体"/>
      <w:szCs w:val="21"/>
    </w:rPr>
  </w:style>
  <w:style w:type="paragraph" w:customStyle="1" w:styleId="90">
    <w:name w:val="附录二级条标题"/>
    <w:basedOn w:val="1"/>
    <w:next w:val="26"/>
    <w:qFormat/>
    <w:uiPriority w:val="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91">
    <w:name w:val="附录二级无"/>
    <w:basedOn w:val="90"/>
    <w:qFormat/>
    <w:uiPriority w:val="0"/>
    <w:pPr>
      <w:tabs>
        <w:tab w:val="clear" w:pos="360"/>
      </w:tabs>
      <w:spacing w:beforeLines="0" w:afterLines="0"/>
    </w:pPr>
    <w:rPr>
      <w:rFonts w:ascii="宋体" w:eastAsia="宋体"/>
      <w:szCs w:val="21"/>
    </w:rPr>
  </w:style>
  <w:style w:type="paragraph" w:customStyle="1" w:styleId="92">
    <w:name w:val="附录公式"/>
    <w:basedOn w:val="26"/>
    <w:next w:val="26"/>
    <w:link w:val="93"/>
    <w:qFormat/>
    <w:uiPriority w:val="0"/>
  </w:style>
  <w:style w:type="character" w:customStyle="1" w:styleId="93">
    <w:name w:val="附录公式 Char"/>
    <w:basedOn w:val="43"/>
    <w:link w:val="92"/>
    <w:qFormat/>
    <w:uiPriority w:val="0"/>
    <w:rPr>
      <w:rFonts w:ascii="宋体"/>
      <w:sz w:val="21"/>
      <w:lang w:val="en-US" w:eastAsia="zh-CN" w:bidi="ar-SA"/>
    </w:rPr>
  </w:style>
  <w:style w:type="paragraph" w:customStyle="1" w:styleId="94">
    <w:name w:val="附录公式编号制表符"/>
    <w:basedOn w:val="1"/>
    <w:next w:val="26"/>
    <w:qFormat/>
    <w:uiPriority w:val="0"/>
    <w:pPr>
      <w:widowControl/>
      <w:tabs>
        <w:tab w:val="center" w:pos="4201"/>
        <w:tab w:val="right" w:leader="dot" w:pos="9298"/>
      </w:tabs>
      <w:autoSpaceDE w:val="0"/>
      <w:autoSpaceDN w:val="0"/>
    </w:pPr>
    <w:rPr>
      <w:rFonts w:ascii="宋体"/>
      <w:kern w:val="0"/>
      <w:szCs w:val="20"/>
    </w:rPr>
  </w:style>
  <w:style w:type="paragraph" w:customStyle="1" w:styleId="95">
    <w:name w:val="附录三级条标题"/>
    <w:basedOn w:val="90"/>
    <w:next w:val="26"/>
    <w:qFormat/>
    <w:uiPriority w:val="0"/>
    <w:pPr>
      <w:outlineLvl w:val="4"/>
    </w:pPr>
  </w:style>
  <w:style w:type="paragraph" w:customStyle="1" w:styleId="96">
    <w:name w:val="附录三级无"/>
    <w:basedOn w:val="95"/>
    <w:autoRedefine/>
    <w:qFormat/>
    <w:uiPriority w:val="0"/>
    <w:pPr>
      <w:tabs>
        <w:tab w:val="clear" w:pos="360"/>
      </w:tabs>
      <w:spacing w:beforeLines="0" w:afterLines="0"/>
    </w:pPr>
    <w:rPr>
      <w:rFonts w:ascii="宋体" w:eastAsia="宋体"/>
      <w:szCs w:val="21"/>
    </w:rPr>
  </w:style>
  <w:style w:type="paragraph" w:customStyle="1" w:styleId="97">
    <w:name w:val="附录数字编号列项（二级）"/>
    <w:qFormat/>
    <w:uiPriority w:val="0"/>
    <w:pPr>
      <w:numPr>
        <w:ilvl w:val="1"/>
        <w:numId w:val="12"/>
      </w:numPr>
    </w:pPr>
    <w:rPr>
      <w:rFonts w:ascii="宋体" w:hAnsi="Times New Roman" w:eastAsia="宋体" w:cs="Times New Roman"/>
      <w:sz w:val="21"/>
      <w:lang w:val="en-US" w:eastAsia="zh-CN" w:bidi="ar-SA"/>
    </w:rPr>
  </w:style>
  <w:style w:type="paragraph" w:customStyle="1" w:styleId="98">
    <w:name w:val="附录四级条标题"/>
    <w:basedOn w:val="95"/>
    <w:next w:val="26"/>
    <w:qFormat/>
    <w:uiPriority w:val="0"/>
    <w:pPr>
      <w:outlineLvl w:val="5"/>
    </w:pPr>
  </w:style>
  <w:style w:type="paragraph" w:customStyle="1" w:styleId="99">
    <w:name w:val="附录四级无"/>
    <w:basedOn w:val="98"/>
    <w:qFormat/>
    <w:uiPriority w:val="0"/>
    <w:pPr>
      <w:tabs>
        <w:tab w:val="clear" w:pos="360"/>
      </w:tabs>
      <w:spacing w:beforeLines="0" w:afterLines="0"/>
    </w:pPr>
    <w:rPr>
      <w:rFonts w:ascii="宋体" w:eastAsia="宋体"/>
      <w:szCs w:val="21"/>
    </w:rPr>
  </w:style>
  <w:style w:type="paragraph" w:customStyle="1" w:styleId="100">
    <w:name w:val="附录图标号"/>
    <w:basedOn w:val="1"/>
    <w:uiPriority w:val="0"/>
    <w:pPr>
      <w:keepNext/>
      <w:pageBreakBefore/>
      <w:widowControl/>
      <w:numPr>
        <w:ilvl w:val="0"/>
        <w:numId w:val="13"/>
      </w:numPr>
      <w:spacing w:line="14" w:lineRule="exact"/>
      <w:ind w:left="0" w:firstLine="363"/>
      <w:jc w:val="center"/>
      <w:outlineLvl w:val="0"/>
    </w:pPr>
    <w:rPr>
      <w:color w:val="FFFFFF"/>
    </w:rPr>
  </w:style>
  <w:style w:type="paragraph" w:customStyle="1" w:styleId="101">
    <w:name w:val="附录图标题"/>
    <w:basedOn w:val="1"/>
    <w:next w:val="26"/>
    <w:qFormat/>
    <w:uiPriority w:val="0"/>
    <w:pPr>
      <w:numPr>
        <w:ilvl w:val="1"/>
        <w:numId w:val="13"/>
      </w:numPr>
      <w:tabs>
        <w:tab w:val="left" w:pos="363"/>
      </w:tabs>
      <w:spacing w:beforeLines="50" w:afterLines="50"/>
      <w:ind w:left="0" w:firstLine="0"/>
      <w:jc w:val="center"/>
    </w:pPr>
    <w:rPr>
      <w:rFonts w:ascii="黑体" w:eastAsia="黑体"/>
      <w:szCs w:val="21"/>
    </w:rPr>
  </w:style>
  <w:style w:type="paragraph" w:customStyle="1" w:styleId="102">
    <w:name w:val="附录五级条标题"/>
    <w:basedOn w:val="98"/>
    <w:next w:val="26"/>
    <w:qFormat/>
    <w:uiPriority w:val="0"/>
    <w:pPr>
      <w:outlineLvl w:val="6"/>
    </w:pPr>
  </w:style>
  <w:style w:type="paragraph" w:customStyle="1" w:styleId="103">
    <w:name w:val="附录五级无"/>
    <w:basedOn w:val="102"/>
    <w:qFormat/>
    <w:uiPriority w:val="0"/>
    <w:pPr>
      <w:tabs>
        <w:tab w:val="clear" w:pos="360"/>
      </w:tabs>
      <w:spacing w:beforeLines="0" w:afterLines="0"/>
    </w:pPr>
    <w:rPr>
      <w:rFonts w:ascii="宋体" w:eastAsia="宋体"/>
      <w:szCs w:val="21"/>
    </w:rPr>
  </w:style>
  <w:style w:type="paragraph" w:customStyle="1" w:styleId="104">
    <w:name w:val="附录章标题"/>
    <w:next w:val="26"/>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5">
    <w:name w:val="附录一级条标题"/>
    <w:basedOn w:val="104"/>
    <w:next w:val="26"/>
    <w:uiPriority w:val="0"/>
    <w:pPr>
      <w:autoSpaceDN w:val="0"/>
      <w:spacing w:beforeLines="50" w:afterLines="50"/>
      <w:outlineLvl w:val="2"/>
    </w:pPr>
  </w:style>
  <w:style w:type="paragraph" w:customStyle="1" w:styleId="106">
    <w:name w:val="附录一级无"/>
    <w:basedOn w:val="105"/>
    <w:qFormat/>
    <w:uiPriority w:val="0"/>
    <w:pPr>
      <w:tabs>
        <w:tab w:val="clear" w:pos="360"/>
      </w:tabs>
      <w:spacing w:beforeLines="0" w:afterLines="0"/>
    </w:pPr>
    <w:rPr>
      <w:rFonts w:ascii="宋体" w:eastAsia="宋体"/>
      <w:szCs w:val="21"/>
    </w:rPr>
  </w:style>
  <w:style w:type="paragraph" w:customStyle="1" w:styleId="107">
    <w:name w:val="附录字母编号列项（一级）"/>
    <w:qFormat/>
    <w:uiPriority w:val="0"/>
    <w:pPr>
      <w:numPr>
        <w:ilvl w:val="0"/>
        <w:numId w:val="12"/>
      </w:numPr>
    </w:pPr>
    <w:rPr>
      <w:rFonts w:ascii="宋体" w:hAnsi="Times New Roman" w:eastAsia="宋体" w:cs="Times New Roman"/>
      <w:sz w:val="21"/>
      <w:lang w:val="en-US" w:eastAsia="zh-CN" w:bidi="ar-SA"/>
    </w:rPr>
  </w:style>
  <w:style w:type="paragraph" w:customStyle="1" w:styleId="108">
    <w:name w:val="列项说明"/>
    <w:basedOn w:val="1"/>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9">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10">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1">
    <w:name w:val="其他标准标志"/>
    <w:basedOn w:val="68"/>
    <w:uiPriority w:val="0"/>
    <w:pPr>
      <w:framePr w:w="6101" w:wrap="around" w:vAnchor="page" w:hAnchor="page" w:x="4673" w:y="942"/>
    </w:pPr>
    <w:rPr>
      <w:w w:val="130"/>
    </w:rPr>
  </w:style>
  <w:style w:type="paragraph" w:customStyle="1" w:styleId="112">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3">
    <w:name w:val="其他发布部门"/>
    <w:basedOn w:val="76"/>
    <w:qFormat/>
    <w:uiPriority w:val="0"/>
    <w:pPr>
      <w:framePr w:wrap="around" w:y="15310"/>
      <w:spacing w:line="0" w:lineRule="atLeast"/>
    </w:pPr>
    <w:rPr>
      <w:rFonts w:ascii="黑体" w:eastAsia="黑体"/>
      <w:b w:val="0"/>
    </w:rPr>
  </w:style>
  <w:style w:type="paragraph" w:customStyle="1" w:styleId="114">
    <w:name w:val="前言、引言标题"/>
    <w:next w:val="26"/>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5">
    <w:name w:val="三级无标题条"/>
    <w:basedOn w:val="53"/>
    <w:qFormat/>
    <w:uiPriority w:val="0"/>
    <w:pPr>
      <w:spacing w:before="0" w:beforeLines="0" w:after="0" w:afterLines="0"/>
    </w:pPr>
    <w:rPr>
      <w:rFonts w:eastAsiaTheme="minorEastAsia"/>
    </w:rPr>
  </w:style>
  <w:style w:type="paragraph" w:customStyle="1" w:styleId="116">
    <w:name w:val="实施日期"/>
    <w:basedOn w:val="77"/>
    <w:qFormat/>
    <w:uiPriority w:val="0"/>
    <w:pPr>
      <w:framePr w:wrap="around" w:vAnchor="page" w:hAnchor="text"/>
      <w:jc w:val="right"/>
    </w:pPr>
  </w:style>
  <w:style w:type="paragraph" w:customStyle="1" w:styleId="117">
    <w:name w:val="示例后文字"/>
    <w:basedOn w:val="26"/>
    <w:next w:val="26"/>
    <w:qFormat/>
    <w:uiPriority w:val="0"/>
    <w:pPr>
      <w:ind w:firstLine="360"/>
    </w:pPr>
    <w:rPr>
      <w:sz w:val="18"/>
    </w:rPr>
  </w:style>
  <w:style w:type="paragraph" w:customStyle="1" w:styleId="118">
    <w:name w:val="首示例"/>
    <w:next w:val="26"/>
    <w:link w:val="119"/>
    <w:qFormat/>
    <w:uiPriority w:val="0"/>
    <w:pPr>
      <w:numPr>
        <w:ilvl w:val="0"/>
        <w:numId w:val="14"/>
      </w:numPr>
      <w:tabs>
        <w:tab w:val="left" w:pos="360"/>
      </w:tabs>
      <w:ind w:firstLine="0"/>
    </w:pPr>
    <w:rPr>
      <w:rFonts w:ascii="宋体" w:hAnsi="宋体" w:eastAsia="宋体" w:cs="Times New Roman"/>
      <w:kern w:val="2"/>
      <w:sz w:val="18"/>
      <w:szCs w:val="18"/>
      <w:lang w:val="en-US" w:eastAsia="zh-CN" w:bidi="ar-SA"/>
    </w:rPr>
  </w:style>
  <w:style w:type="character" w:customStyle="1" w:styleId="119">
    <w:name w:val="首示例 Char"/>
    <w:link w:val="118"/>
    <w:qFormat/>
    <w:uiPriority w:val="0"/>
    <w:rPr>
      <w:rFonts w:ascii="宋体" w:hAnsi="宋体"/>
      <w:kern w:val="2"/>
      <w:sz w:val="18"/>
      <w:szCs w:val="18"/>
    </w:rPr>
  </w:style>
  <w:style w:type="paragraph" w:customStyle="1" w:styleId="120">
    <w:name w:val="四级无"/>
    <w:basedOn w:val="57"/>
    <w:qFormat/>
    <w:uiPriority w:val="0"/>
    <w:pPr>
      <w:numPr>
        <w:numId w:val="15"/>
      </w:numPr>
      <w:spacing w:beforeLines="0" w:afterLines="0"/>
    </w:pPr>
    <w:rPr>
      <w:rFonts w:ascii="宋体" w:eastAsia="宋体"/>
    </w:rPr>
  </w:style>
  <w:style w:type="paragraph" w:customStyle="1" w:styleId="121">
    <w:name w:val="条文脚注"/>
    <w:basedOn w:val="27"/>
    <w:qFormat/>
    <w:uiPriority w:val="0"/>
    <w:pPr>
      <w:numPr>
        <w:numId w:val="0"/>
      </w:numPr>
      <w:jc w:val="both"/>
    </w:pPr>
  </w:style>
  <w:style w:type="paragraph" w:customStyle="1" w:styleId="122">
    <w:name w:val="图标脚注说明"/>
    <w:basedOn w:val="26"/>
    <w:uiPriority w:val="0"/>
    <w:pPr>
      <w:ind w:left="840" w:hanging="420" w:firstLineChars="0"/>
    </w:pPr>
    <w:rPr>
      <w:sz w:val="18"/>
      <w:szCs w:val="18"/>
    </w:rPr>
  </w:style>
  <w:style w:type="paragraph" w:customStyle="1" w:styleId="123">
    <w:name w:val="图表脚注说明"/>
    <w:basedOn w:val="1"/>
    <w:uiPriority w:val="0"/>
    <w:pPr>
      <w:numPr>
        <w:ilvl w:val="0"/>
        <w:numId w:val="16"/>
      </w:numPr>
    </w:pPr>
    <w:rPr>
      <w:rFonts w:ascii="宋体"/>
      <w:sz w:val="18"/>
      <w:szCs w:val="18"/>
    </w:rPr>
  </w:style>
  <w:style w:type="paragraph" w:customStyle="1" w:styleId="124">
    <w:name w:val="图的脚注"/>
    <w:next w:val="26"/>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6">
    <w:name w:val="五级无"/>
    <w:basedOn w:val="58"/>
    <w:qFormat/>
    <w:uiPriority w:val="0"/>
    <w:pPr>
      <w:numPr>
        <w:numId w:val="15"/>
      </w:numPr>
      <w:spacing w:beforeLines="0" w:afterLines="0"/>
    </w:pPr>
    <w:rPr>
      <w:rFonts w:ascii="宋体" w:eastAsia="宋体"/>
    </w:rPr>
  </w:style>
  <w:style w:type="paragraph" w:customStyle="1" w:styleId="127">
    <w:name w:val="四级无标题条"/>
    <w:basedOn w:val="57"/>
    <w:qFormat/>
    <w:uiPriority w:val="0"/>
    <w:pPr>
      <w:spacing w:before="0" w:beforeLines="0" w:after="0" w:afterLines="0"/>
    </w:pPr>
    <w:rPr>
      <w:rFonts w:eastAsiaTheme="minorEastAsia"/>
    </w:rPr>
  </w:style>
  <w:style w:type="character" w:customStyle="1" w:styleId="128">
    <w:name w:val="已访问的超链接1"/>
    <w:qFormat/>
    <w:uiPriority w:val="0"/>
    <w:rPr>
      <w:color w:val="800080"/>
      <w:u w:val="single"/>
    </w:rPr>
  </w:style>
  <w:style w:type="paragraph" w:customStyle="1" w:styleId="129">
    <w:name w:val="正文表标题"/>
    <w:next w:val="26"/>
    <w:uiPriority w:val="0"/>
    <w:pPr>
      <w:numPr>
        <w:ilvl w:val="0"/>
        <w:numId w:val="17"/>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30">
    <w:name w:val="正文公式编号制表符"/>
    <w:basedOn w:val="26"/>
    <w:next w:val="26"/>
    <w:qFormat/>
    <w:uiPriority w:val="0"/>
    <w:pPr>
      <w:ind w:firstLine="0" w:firstLineChars="0"/>
    </w:pPr>
  </w:style>
  <w:style w:type="paragraph" w:customStyle="1" w:styleId="131">
    <w:name w:val="正文图标题"/>
    <w:next w:val="26"/>
    <w:qFormat/>
    <w:uiPriority w:val="0"/>
    <w:pPr>
      <w:numPr>
        <w:ilvl w:val="0"/>
        <w:numId w:val="18"/>
      </w:numPr>
      <w:spacing w:beforeLines="50" w:afterLines="50"/>
      <w:jc w:val="center"/>
    </w:pPr>
    <w:rPr>
      <w:rFonts w:ascii="黑体" w:hAnsi="Times New Roman" w:eastAsia="黑体" w:cs="Times New Roman"/>
      <w:sz w:val="21"/>
      <w:lang w:val="en-US" w:eastAsia="zh-CN" w:bidi="ar-SA"/>
    </w:rPr>
  </w:style>
  <w:style w:type="paragraph" w:customStyle="1" w:styleId="132">
    <w:name w:val="终结线"/>
    <w:basedOn w:val="1"/>
    <w:qFormat/>
    <w:uiPriority w:val="0"/>
    <w:pPr>
      <w:framePr w:hSpace="181" w:vSpace="181" w:wrap="around" w:vAnchor="text" w:hAnchor="margin" w:xAlign="center" w:y="285"/>
    </w:pPr>
  </w:style>
  <w:style w:type="paragraph" w:customStyle="1" w:styleId="133">
    <w:name w:val="其他发布日期"/>
    <w:basedOn w:val="77"/>
    <w:qFormat/>
    <w:uiPriority w:val="0"/>
    <w:pPr>
      <w:framePr w:wrap="around" w:vAnchor="page" w:hAnchor="text" w:x="1419"/>
    </w:pPr>
  </w:style>
  <w:style w:type="paragraph" w:customStyle="1" w:styleId="134">
    <w:name w:val="其他实施日期"/>
    <w:basedOn w:val="116"/>
    <w:qFormat/>
    <w:uiPriority w:val="0"/>
    <w:pPr>
      <w:framePr w:wrap="around"/>
    </w:pPr>
  </w:style>
  <w:style w:type="paragraph" w:customStyle="1" w:styleId="135">
    <w:name w:val="封面标准名称2"/>
    <w:basedOn w:val="80"/>
    <w:uiPriority w:val="0"/>
    <w:pPr>
      <w:framePr w:wrap="around" w:y="4469"/>
      <w:spacing w:beforeLines="630"/>
    </w:pPr>
  </w:style>
  <w:style w:type="paragraph" w:customStyle="1" w:styleId="136">
    <w:name w:val="封面标准英文名称2"/>
    <w:basedOn w:val="81"/>
    <w:uiPriority w:val="0"/>
    <w:pPr>
      <w:framePr w:wrap="around" w:y="4469"/>
    </w:pPr>
  </w:style>
  <w:style w:type="paragraph" w:customStyle="1" w:styleId="137">
    <w:name w:val="封面一致性程度标识2"/>
    <w:basedOn w:val="82"/>
    <w:qFormat/>
    <w:uiPriority w:val="0"/>
    <w:pPr>
      <w:framePr w:wrap="around" w:y="4469"/>
    </w:pPr>
  </w:style>
  <w:style w:type="paragraph" w:customStyle="1" w:styleId="138">
    <w:name w:val="封面标准文稿类别2"/>
    <w:basedOn w:val="83"/>
    <w:qFormat/>
    <w:uiPriority w:val="0"/>
    <w:pPr>
      <w:framePr w:wrap="around" w:y="4469"/>
    </w:pPr>
  </w:style>
  <w:style w:type="paragraph" w:customStyle="1" w:styleId="139">
    <w:name w:val="封面标准文稿编辑信息2"/>
    <w:basedOn w:val="84"/>
    <w:qFormat/>
    <w:uiPriority w:val="0"/>
    <w:pPr>
      <w:framePr w:wrap="around" w:y="4469"/>
    </w:pPr>
  </w:style>
  <w:style w:type="paragraph" w:customStyle="1" w:styleId="140">
    <w:name w:val="列出段落1"/>
    <w:basedOn w:val="1"/>
    <w:qFormat/>
    <w:uiPriority w:val="34"/>
    <w:pPr>
      <w:ind w:firstLine="420" w:firstLineChars="200"/>
    </w:pPr>
    <w:rPr>
      <w:rFonts w:ascii="Calibri" w:hAnsi="Calibri"/>
      <w:sz w:val="28"/>
      <w:szCs w:val="22"/>
    </w:rPr>
  </w:style>
  <w:style w:type="character" w:customStyle="1" w:styleId="141">
    <w:name w:val="标题 2 字符"/>
    <w:link w:val="5"/>
    <w:qFormat/>
    <w:uiPriority w:val="9"/>
    <w:rPr>
      <w:rFonts w:ascii="Cambria" w:hAnsi="Cambria" w:eastAsia="宋体" w:cs="Times New Roman"/>
      <w:b/>
      <w:bCs/>
      <w:kern w:val="2"/>
      <w:sz w:val="32"/>
      <w:szCs w:val="32"/>
    </w:rPr>
  </w:style>
  <w:style w:type="character" w:customStyle="1" w:styleId="142">
    <w:name w:val="标题 3 字符"/>
    <w:link w:val="6"/>
    <w:qFormat/>
    <w:uiPriority w:val="9"/>
    <w:rPr>
      <w:rFonts w:ascii="Calibri" w:hAnsi="Calibri" w:eastAsia="宋体" w:cs="Times New Roman"/>
      <w:b/>
      <w:bCs/>
      <w:kern w:val="2"/>
      <w:sz w:val="32"/>
      <w:szCs w:val="32"/>
    </w:rPr>
  </w:style>
  <w:style w:type="character" w:customStyle="1" w:styleId="143">
    <w:name w:val="批注框文本 字符"/>
    <w:link w:val="19"/>
    <w:qFormat/>
    <w:uiPriority w:val="0"/>
    <w:rPr>
      <w:kern w:val="2"/>
      <w:sz w:val="18"/>
      <w:szCs w:val="18"/>
    </w:rPr>
  </w:style>
  <w:style w:type="character" w:customStyle="1" w:styleId="144">
    <w:name w:val="标题 1 字符"/>
    <w:link w:val="4"/>
    <w:qFormat/>
    <w:uiPriority w:val="0"/>
    <w:rPr>
      <w:b/>
      <w:bCs/>
      <w:kern w:val="44"/>
      <w:sz w:val="44"/>
      <w:szCs w:val="44"/>
    </w:rPr>
  </w:style>
  <w:style w:type="paragraph" w:customStyle="1" w:styleId="145">
    <w:name w:val="TOC 标题1"/>
    <w:basedOn w:val="4"/>
    <w:next w:val="1"/>
    <w:unhideWhenUsed/>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46">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147">
    <w:name w:val="一级无标题条"/>
    <w:basedOn w:val="44"/>
    <w:qFormat/>
    <w:uiPriority w:val="0"/>
    <w:pPr>
      <w:spacing w:before="0" w:beforeLines="0" w:after="0" w:afterLines="0"/>
    </w:pPr>
    <w:rPr>
      <w:rFonts w:asciiTheme="majorEastAsia" w:hAnsiTheme="majorEastAsia" w:eastAsiaTheme="majorEastAsia"/>
    </w:rPr>
  </w:style>
  <w:style w:type="paragraph" w:customStyle="1" w:styleId="148">
    <w:name w:val="二级无标题条"/>
    <w:basedOn w:val="48"/>
    <w:qFormat/>
    <w:uiPriority w:val="0"/>
    <w:pPr>
      <w:spacing w:before="0" w:beforeLines="0" w:after="0" w:afterLines="0"/>
    </w:pPr>
    <w:rPr>
      <w:rFonts w:asciiTheme="minorEastAsia" w:hAnsiTheme="minorEastAsia" w:eastAsiaTheme="minorEastAsia"/>
    </w:rPr>
  </w:style>
  <w:style w:type="paragraph" w:customStyle="1" w:styleId="149">
    <w:name w:val="术语"/>
    <w:basedOn w:val="26"/>
    <w:next w:val="26"/>
    <w:qFormat/>
    <w:uiPriority w:val="0"/>
    <w:rPr>
      <w:rFonts w:ascii="黑体" w:hAnsi="黑体" w:eastAsia="黑体"/>
      <w:color w:val="000000" w:themeColor="text1"/>
      <w14:textFill>
        <w14:solidFill>
          <w14:schemeClr w14:val="tx1"/>
        </w14:solidFill>
      </w14:textFill>
    </w:rPr>
  </w:style>
  <w:style w:type="paragraph" w:customStyle="1" w:styleId="150">
    <w:name w:val="参考文献正文"/>
    <w:basedOn w:val="26"/>
    <w:qFormat/>
    <w:uiPriority w:val="0"/>
    <w:pPr>
      <w:numPr>
        <w:ilvl w:val="1"/>
        <w:numId w:val="19"/>
      </w:numPr>
      <w:tabs>
        <w:tab w:val="clear" w:pos="4201"/>
        <w:tab w:val="clear" w:pos="9298"/>
      </w:tabs>
      <w:ind w:left="0" w:firstLine="420"/>
      <w:jc w:val="left"/>
    </w:pPr>
  </w:style>
  <w:style w:type="paragraph" w:styleId="151">
    <w:name w:val="List Paragraph"/>
    <w:basedOn w:val="1"/>
    <w:qFormat/>
    <w:uiPriority w:val="34"/>
    <w:pPr>
      <w:widowControl/>
      <w:ind w:firstLine="420" w:firstLineChars="200"/>
      <w:jc w:val="left"/>
    </w:pPr>
    <w:rPr>
      <w:rFonts w:ascii="宋体" w:hAnsi="宋体" w:cs="宋体"/>
      <w:kern w:val="0"/>
      <w:sz w:val="24"/>
    </w:rPr>
  </w:style>
  <w:style w:type="character" w:styleId="152">
    <w:name w:val="Placeholder Text"/>
    <w:basedOn w:val="37"/>
    <w:semiHidden/>
    <w:uiPriority w:val="99"/>
    <w:rPr>
      <w:color w:val="808080"/>
    </w:rPr>
  </w:style>
  <w:style w:type="paragraph" w:customStyle="1" w:styleId="153">
    <w:name w:val="附录章无标题"/>
    <w:qFormat/>
    <w:uiPriority w:val="0"/>
    <w:rPr>
      <w:rFonts w:ascii="宋体" w:hAnsi="Times New Roman" w:eastAsia="宋体" w:cs="Times New Roman"/>
      <w:sz w:val="21"/>
      <w:lang w:val="en-US" w:eastAsia="zh-CN" w:bidi="ar-SA"/>
    </w:rPr>
  </w:style>
  <w:style w:type="character" w:customStyle="1" w:styleId="154">
    <w:name w:val="正文文本缩进 Char"/>
    <w:basedOn w:val="37"/>
    <w:link w:val="3"/>
    <w:uiPriority w:val="0"/>
    <w:rPr>
      <w:rFonts w:hint="default" w:ascii="Calibri" w:hAnsi="Calibri" w:cs="Calibri"/>
      <w:kern w:val="2"/>
      <w:sz w:val="21"/>
      <w:szCs w:val="24"/>
    </w:rPr>
  </w:style>
  <w:style w:type="character" w:customStyle="1" w:styleId="155">
    <w:name w:val="正文首行缩进 2 Char"/>
    <w:basedOn w:val="154"/>
    <w:link w:val="2"/>
    <w:uiPriority w:val="0"/>
    <w:rPr>
      <w:rFonts w:hint="default" w:ascii="Calibri" w:hAnsi="Calibri" w:cs="Calibri"/>
      <w:kern w:val="2"/>
      <w:sz w:val="21"/>
      <w:szCs w:val="24"/>
    </w:rPr>
  </w:style>
  <w:style w:type="character" w:customStyle="1" w:styleId="156">
    <w:name w:val="页脚 Char"/>
    <w:basedOn w:val="37"/>
    <w:link w:val="20"/>
    <w:uiPriority w:val="0"/>
    <w:rPr>
      <w:rFonts w:hint="default"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tiff"/><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827;&#21271;&#30465;&#22320;&#26041;&#26631;&#20934;&#65288;&#24066;&#22330;&#23616;%202020&#292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DE148-A233-489C-B5F5-403E16583124}">
  <ds:schemaRefs/>
</ds:datastoreItem>
</file>

<file path=docProps/app.xml><?xml version="1.0" encoding="utf-8"?>
<Properties xmlns="http://schemas.openxmlformats.org/officeDocument/2006/extended-properties" xmlns:vt="http://schemas.openxmlformats.org/officeDocument/2006/docPropsVTypes">
  <Template>河北省地方标准（市场局 2020版）.dotx</Template>
  <Pages>7</Pages>
  <Words>1280</Words>
  <Characters>1479</Characters>
  <Lines>61</Lines>
  <Paragraphs>17</Paragraphs>
  <TotalTime>1</TotalTime>
  <ScaleCrop>false</ScaleCrop>
  <LinksUpToDate>false</LinksUpToDate>
  <CharactersWithSpaces>2101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2024-05-22T01:30:00Z</dcterms:created>
  <dc:creator>lenovo</dc:creator>
  <cp:lastModifiedBy>刘萌</cp:lastModifiedBy>
  <dcterms:modified xsi:type="dcterms:W3CDTF">2024-06-03T01:39:03Z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7E788FFD5D9A40A3A2FBDA294C00B8DA_11</vt:lpwstr>
  </property>
</Properties>
</file>